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9E81D" w14:textId="6FAA08F9" w:rsidR="00E63594" w:rsidRPr="009470DF" w:rsidRDefault="00C95670" w:rsidP="004E2E43">
      <w:pPr>
        <w:pStyle w:val="Title"/>
        <w:spacing w:before="120" w:after="120"/>
        <w:rPr>
          <w:color w:val="344D6C" w:themeColor="accent6" w:themeShade="80"/>
          <w14:textFill>
            <w14:solidFill>
              <w14:schemeClr w14:val="accent6">
                <w14:lumMod w14:val="50000"/>
              </w14:schemeClr>
            </w14:solidFill>
          </w14:textFill>
        </w:rPr>
      </w:pPr>
      <w:bookmarkStart w:id="0" w:name="_GoBack"/>
      <w:r>
        <w:rPr>
          <w:noProof/>
          <w:lang w:eastAsia="en-US"/>
        </w:rPr>
        <w:drawing>
          <wp:anchor distT="0" distB="0" distL="114300" distR="114300" simplePos="0" relativeHeight="251658240" behindDoc="0" locked="0" layoutInCell="1" allowOverlap="1" wp14:anchorId="080093F0" wp14:editId="0E88CB48">
            <wp:simplePos x="0" y="0"/>
            <wp:positionH relativeFrom="margin">
              <wp:align>left</wp:align>
            </wp:positionH>
            <wp:positionV relativeFrom="paragraph">
              <wp:posOffset>-95250</wp:posOffset>
            </wp:positionV>
            <wp:extent cx="2085975" cy="1053852"/>
            <wp:effectExtent l="0" t="0" r="0" b="0"/>
            <wp:wrapNone/>
            <wp:docPr id="1" name="Picture 1" descr="D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350" cy="1068187"/>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9470DF">
        <w:rPr>
          <w:color w:val="344D6C" w:themeColor="accent6" w:themeShade="80"/>
          <w14:textFill>
            <w14:solidFill>
              <w14:schemeClr w14:val="accent6">
                <w14:lumMod w14:val="50000"/>
              </w14:schemeClr>
            </w14:solidFill>
          </w14:textFill>
        </w:rPr>
        <w:t xml:space="preserve"> </w:t>
      </w:r>
      <w:r w:rsidR="00605551" w:rsidRPr="009470DF">
        <w:rPr>
          <w:color w:val="344D6C" w:themeColor="accent6" w:themeShade="80"/>
          <w14:textFill>
            <w14:solidFill>
              <w14:schemeClr w14:val="accent6">
                <w14:lumMod w14:val="50000"/>
              </w14:schemeClr>
            </w14:solidFill>
          </w14:textFill>
        </w:rPr>
        <w:t>MINUTES</w:t>
      </w:r>
    </w:p>
    <w:p w14:paraId="67AA8097" w14:textId="77777777" w:rsidR="00E63594" w:rsidRPr="009470DF" w:rsidRDefault="00DB7096" w:rsidP="004E2E43">
      <w:pPr>
        <w:pStyle w:val="Subtitle"/>
        <w:spacing w:before="120"/>
        <w:rPr>
          <w:color w:val="C00000"/>
        </w:rPr>
      </w:pPr>
      <w:sdt>
        <w:sdtPr>
          <w:rPr>
            <w:color w:val="C00000"/>
          </w:rPr>
          <w:id w:val="841976995"/>
          <w:placeholder>
            <w:docPart w:val="2D98040DCBEE4E4D84B2297349BA1D33"/>
          </w:placeholder>
          <w15:appearance w15:val="hidden"/>
        </w:sdtPr>
        <w:sdtEndPr/>
        <w:sdtContent>
          <w:r w:rsidR="009470DF" w:rsidRPr="009470DF">
            <w:rPr>
              <w:color w:val="C00000"/>
            </w:rPr>
            <w:t>Montana District Export Council</w:t>
          </w:r>
        </w:sdtContent>
      </w:sdt>
    </w:p>
    <w:p w14:paraId="13141BD1" w14:textId="1927DF81" w:rsidR="00E63594" w:rsidRPr="009470DF" w:rsidRDefault="00B42E18" w:rsidP="004E2E43">
      <w:pPr>
        <w:pBdr>
          <w:top w:val="single" w:sz="4" w:space="1" w:color="444D26" w:themeColor="text2"/>
        </w:pBdr>
        <w:spacing w:before="120" w:after="120"/>
        <w:jc w:val="right"/>
        <w:rPr>
          <w:color w:val="C00000"/>
        </w:rPr>
      </w:pPr>
      <w:r>
        <w:rPr>
          <w:rStyle w:val="IntenseEmphasis"/>
          <w:color w:val="C00000"/>
        </w:rPr>
        <w:t>May 21</w:t>
      </w:r>
      <w:r w:rsidR="009E19A2">
        <w:rPr>
          <w:rStyle w:val="IntenseEmphasis"/>
          <w:color w:val="C00000"/>
        </w:rPr>
        <w:t>, 2018</w:t>
      </w:r>
      <w:r w:rsidR="009470DF">
        <w:rPr>
          <w:rStyle w:val="IntenseEmphasis"/>
          <w:color w:val="C00000"/>
        </w:rPr>
        <w:t xml:space="preserve"> | </w:t>
      </w:r>
      <w:r w:rsidR="001006F1">
        <w:rPr>
          <w:rStyle w:val="IntenseEmphasis"/>
          <w:color w:val="C00000"/>
        </w:rPr>
        <w:t>Missoula</w:t>
      </w:r>
      <w:r w:rsidR="009470DF">
        <w:rPr>
          <w:rStyle w:val="IntenseEmphasis"/>
          <w:color w:val="C00000"/>
        </w:rPr>
        <w:t>, MT</w:t>
      </w:r>
    </w:p>
    <w:p w14:paraId="0B593180" w14:textId="72117B24" w:rsidR="00B42E18" w:rsidRPr="00B42E18" w:rsidRDefault="00B42E18" w:rsidP="004E2E43">
      <w:pPr>
        <w:pStyle w:val="Heading1"/>
      </w:pPr>
      <w:r>
        <w:t xml:space="preserve">DEC </w:t>
      </w:r>
      <w:r w:rsidRPr="004E2E43">
        <w:t>Mission</w:t>
      </w:r>
      <w:r>
        <w:t xml:space="preserve"> Statement</w:t>
      </w:r>
    </w:p>
    <w:p w14:paraId="4B3F6AB9" w14:textId="07DDBD19" w:rsidR="005A2BEB" w:rsidRDefault="005A2BEB" w:rsidP="004E2E43">
      <w:pPr>
        <w:spacing w:before="120" w:after="120"/>
      </w:pPr>
      <w:r>
        <w:t xml:space="preserve">The Montana DEC will </w:t>
      </w:r>
      <w:r w:rsidRPr="00E638B0">
        <w:rPr>
          <w:b/>
        </w:rPr>
        <w:t>support Montana exporters</w:t>
      </w:r>
      <w:r>
        <w:t xml:space="preserve"> and </w:t>
      </w:r>
      <w:r w:rsidRPr="00E638B0">
        <w:rPr>
          <w:b/>
        </w:rPr>
        <w:t>provide a collective Montana exporter voice</w:t>
      </w:r>
      <w:r>
        <w:t xml:space="preserve"> to advise on </w:t>
      </w:r>
      <w:r w:rsidRPr="00E638B0">
        <w:rPr>
          <w:b/>
        </w:rPr>
        <w:t>export education</w:t>
      </w:r>
      <w:r>
        <w:t xml:space="preserve"> needs and disseminate education opportunities to its collective networks; and to </w:t>
      </w:r>
      <w:r w:rsidRPr="00E638B0">
        <w:rPr>
          <w:b/>
        </w:rPr>
        <w:t>advise policy makers on export policies</w:t>
      </w:r>
      <w:r>
        <w:t xml:space="preserve"> under consideration and provide suggestions for future legislation.</w:t>
      </w:r>
    </w:p>
    <w:p w14:paraId="057BD72E" w14:textId="77CCB6D7" w:rsidR="00E63594" w:rsidRPr="002D1AE6" w:rsidRDefault="00605551" w:rsidP="004E2E43">
      <w:pPr>
        <w:pStyle w:val="Heading1"/>
      </w:pPr>
      <w:r w:rsidRPr="002D1AE6">
        <w:t>In Attendance</w:t>
      </w:r>
    </w:p>
    <w:p w14:paraId="7AFAA04D" w14:textId="77777777" w:rsidR="009E19A2" w:rsidRDefault="009E19A2" w:rsidP="004E2E43">
      <w:pPr>
        <w:spacing w:before="120" w:after="120"/>
        <w:sectPr w:rsidR="009E19A2">
          <w:footerReference w:type="default" r:id="rId9"/>
          <w:pgSz w:w="12240" w:h="15840"/>
          <w:pgMar w:top="720" w:right="720" w:bottom="720" w:left="720" w:header="720" w:footer="720" w:gutter="0"/>
          <w:cols w:space="720"/>
          <w:titlePg/>
          <w:docGrid w:linePitch="360"/>
        </w:sectPr>
      </w:pPr>
    </w:p>
    <w:p w14:paraId="4CE4CBA6" w14:textId="3C85A795" w:rsidR="00B42E18" w:rsidRDefault="00B42E18" w:rsidP="00EF3979">
      <w:pPr>
        <w:pStyle w:val="Heading2"/>
      </w:pPr>
      <w:r w:rsidRPr="00B42E18">
        <w:t>Official DEC Members</w:t>
      </w:r>
    </w:p>
    <w:p w14:paraId="4FB0F7AA" w14:textId="77777777" w:rsidR="00160169" w:rsidRDefault="00160169" w:rsidP="00160169">
      <w:r>
        <w:t>Adam – Resonon, DEC Chair</w:t>
      </w:r>
    </w:p>
    <w:p w14:paraId="531A1950" w14:textId="77777777" w:rsidR="00160169" w:rsidRDefault="00160169" w:rsidP="00160169">
      <w:r>
        <w:t xml:space="preserve">B.D. – </w:t>
      </w:r>
      <w:proofErr w:type="spellStart"/>
      <w:r>
        <w:t>Satic</w:t>
      </w:r>
      <w:proofErr w:type="spellEnd"/>
      <w:r>
        <w:t>, DEC Vice Chair</w:t>
      </w:r>
    </w:p>
    <w:p w14:paraId="2B49E2C3" w14:textId="77777777" w:rsidR="00160169" w:rsidRPr="00902ED5" w:rsidRDefault="00160169" w:rsidP="00160169">
      <w:r w:rsidRPr="00902ED5">
        <w:t xml:space="preserve">Carey – </w:t>
      </w:r>
      <w:r>
        <w:t>US Commercial Service – Montana, DEC Executive Secretary</w:t>
      </w:r>
    </w:p>
    <w:p w14:paraId="1FF21660" w14:textId="77777777" w:rsidR="00160169" w:rsidRDefault="00160169" w:rsidP="00160169">
      <w:r>
        <w:t>Brigitta – Montana World Trade Center</w:t>
      </w:r>
    </w:p>
    <w:p w14:paraId="374F1B46" w14:textId="77777777" w:rsidR="00160169" w:rsidRDefault="00160169" w:rsidP="00160169">
      <w:r>
        <w:t xml:space="preserve">Dianna – </w:t>
      </w:r>
      <w:proofErr w:type="spellStart"/>
      <w:r>
        <w:t>TowHaul</w:t>
      </w:r>
      <w:proofErr w:type="spellEnd"/>
    </w:p>
    <w:p w14:paraId="1DBAFA36" w14:textId="77777777" w:rsidR="00160169" w:rsidRDefault="00160169" w:rsidP="00160169">
      <w:r>
        <w:t xml:space="preserve">Richard – The Law Office of </w:t>
      </w:r>
      <w:proofErr w:type="spellStart"/>
      <w:r>
        <w:t>Richarch</w:t>
      </w:r>
      <w:proofErr w:type="spellEnd"/>
      <w:r>
        <w:t xml:space="preserve"> </w:t>
      </w:r>
      <w:proofErr w:type="spellStart"/>
      <w:r>
        <w:t>Hegger</w:t>
      </w:r>
      <w:proofErr w:type="spellEnd"/>
    </w:p>
    <w:p w14:paraId="748D006F" w14:textId="77777777" w:rsidR="00160169" w:rsidRDefault="00160169" w:rsidP="00160169">
      <w:r>
        <w:t xml:space="preserve">Barry – Wood’s </w:t>
      </w:r>
      <w:proofErr w:type="spellStart"/>
      <w:r>
        <w:t>Powr</w:t>
      </w:r>
      <w:proofErr w:type="spellEnd"/>
      <w:r>
        <w:t xml:space="preserve"> Grip</w:t>
      </w:r>
    </w:p>
    <w:p w14:paraId="605695A3" w14:textId="1BB17519" w:rsidR="00160169" w:rsidRDefault="00160169" w:rsidP="00160169">
      <w:r>
        <w:t>Wendy – Diversified Plastics</w:t>
      </w:r>
    </w:p>
    <w:p w14:paraId="01E5FDD4" w14:textId="023D4415" w:rsidR="00160169" w:rsidRDefault="00160169" w:rsidP="00160169">
      <w:r>
        <w:t xml:space="preserve">Jenni – </w:t>
      </w:r>
      <w:r w:rsidRPr="00160169">
        <w:t>Montana Manufacturing Extension Center</w:t>
      </w:r>
    </w:p>
    <w:p w14:paraId="50556D12" w14:textId="1A3D5EE3" w:rsidR="00B42E18" w:rsidRDefault="00160169" w:rsidP="00EF3979">
      <w:pPr>
        <w:pStyle w:val="Heading2"/>
      </w:pPr>
      <w:r>
        <w:br w:type="column"/>
      </w:r>
      <w:r w:rsidR="00B42E18" w:rsidRPr="00B42E18">
        <w:t>DEC Guests</w:t>
      </w:r>
    </w:p>
    <w:p w14:paraId="28A7D801" w14:textId="0369992C" w:rsidR="00AE1535" w:rsidRDefault="00160169" w:rsidP="00AE1535">
      <w:r>
        <w:t>John – BGI Logistics, Portland</w:t>
      </w:r>
    </w:p>
    <w:p w14:paraId="0525E1AA" w14:textId="4F0CF6D1" w:rsidR="00160169" w:rsidRPr="00AE1535" w:rsidRDefault="00160169" w:rsidP="00AE1535">
      <w:r>
        <w:t>Scott – Rocky Mountain Bank</w:t>
      </w:r>
    </w:p>
    <w:p w14:paraId="34ECC79E" w14:textId="4A166E03" w:rsidR="00B42E18" w:rsidRDefault="00B42E18" w:rsidP="00EF3979">
      <w:pPr>
        <w:pStyle w:val="Heading2"/>
      </w:pPr>
      <w:r w:rsidRPr="00B42E18">
        <w:t>Export Resource Partners</w:t>
      </w:r>
    </w:p>
    <w:p w14:paraId="131E2D36" w14:textId="77777777" w:rsidR="00160169" w:rsidRDefault="00160169" w:rsidP="00160169">
      <w:r>
        <w:t>Wayne – Small Business Administration – Montana</w:t>
      </w:r>
    </w:p>
    <w:p w14:paraId="2A26473B" w14:textId="77777777" w:rsidR="00160169" w:rsidRDefault="00160169" w:rsidP="00160169">
      <w:r>
        <w:t xml:space="preserve">Canon – </w:t>
      </w:r>
      <w:proofErr w:type="spellStart"/>
      <w:r>
        <w:t>ExportMontana</w:t>
      </w:r>
      <w:proofErr w:type="spellEnd"/>
      <w:r>
        <w:t>, Montana Department of Commerce</w:t>
      </w:r>
    </w:p>
    <w:p w14:paraId="79844B77" w14:textId="77777777" w:rsidR="00160169" w:rsidRDefault="00160169" w:rsidP="00160169">
      <w:r>
        <w:t xml:space="preserve">Angie – </w:t>
      </w:r>
      <w:proofErr w:type="spellStart"/>
      <w:r>
        <w:t>ExportMontana</w:t>
      </w:r>
      <w:proofErr w:type="spellEnd"/>
      <w:r>
        <w:t>, Montana Department of Commerce</w:t>
      </w:r>
    </w:p>
    <w:p w14:paraId="38F7EC9F" w14:textId="77777777" w:rsidR="00160169" w:rsidRDefault="00160169" w:rsidP="00AE1535">
      <w:pPr>
        <w:sectPr w:rsidR="00160169" w:rsidSect="00160169">
          <w:type w:val="continuous"/>
          <w:pgSz w:w="12240" w:h="15840"/>
          <w:pgMar w:top="720" w:right="720" w:bottom="720" w:left="720" w:header="720" w:footer="720" w:gutter="0"/>
          <w:cols w:num="2" w:space="720"/>
          <w:titlePg/>
          <w:docGrid w:linePitch="360"/>
        </w:sectPr>
      </w:pPr>
    </w:p>
    <w:p w14:paraId="38D0C47D" w14:textId="77777777" w:rsidR="00B42E18" w:rsidRPr="00B42E18" w:rsidRDefault="00B42E18" w:rsidP="004E2E43">
      <w:pPr>
        <w:pStyle w:val="Heading1"/>
      </w:pPr>
      <w:r w:rsidRPr="00B42E18">
        <w:t>Export Obstacles</w:t>
      </w:r>
    </w:p>
    <w:p w14:paraId="3C0EC3DB" w14:textId="77777777" w:rsidR="00B42E18" w:rsidRPr="00B42E18" w:rsidRDefault="00B42E18" w:rsidP="004E2E43">
      <w:pPr>
        <w:spacing w:before="120" w:after="120"/>
      </w:pPr>
      <w:r w:rsidRPr="00B42E18">
        <w:t xml:space="preserve">Montana DEC surveyed Montana exporters, asking about their obstacles to exporting.  Responses, summarized, were largely a need for learning how to export and assistance with navigating export policies and regulations.  </w:t>
      </w:r>
    </w:p>
    <w:p w14:paraId="1D7C773C" w14:textId="77777777" w:rsidR="00B42E18" w:rsidRPr="00B42E18" w:rsidRDefault="00B42E18" w:rsidP="004E2E43">
      <w:pPr>
        <w:spacing w:before="120" w:after="120"/>
      </w:pPr>
      <w:r w:rsidRPr="00B42E18">
        <w:t xml:space="preserve">To address these obstacles: </w:t>
      </w:r>
    </w:p>
    <w:p w14:paraId="4AF707FF" w14:textId="537EA71D" w:rsidR="00B42E18" w:rsidRPr="00B42E18" w:rsidRDefault="00B42E18" w:rsidP="004E2E43">
      <w:pPr>
        <w:pStyle w:val="ListBullet"/>
        <w:tabs>
          <w:tab w:val="clear" w:pos="360"/>
          <w:tab w:val="num" w:pos="720"/>
        </w:tabs>
        <w:spacing w:before="120" w:after="120"/>
        <w:ind w:left="720"/>
        <w:contextualSpacing w:val="0"/>
      </w:pPr>
      <w:r w:rsidRPr="00B42E18">
        <w:t>DEC will reach out to Montana exporters to make them aware of export resources, as well as provide links to resources on the DEC website.  Additionally, DEC members will volunteer as export mentors.</w:t>
      </w:r>
    </w:p>
    <w:p w14:paraId="01FA9B41" w14:textId="1F7E3F83" w:rsidR="00B42E18" w:rsidRPr="00B42E18" w:rsidRDefault="00B42E18" w:rsidP="004E2E43">
      <w:pPr>
        <w:pStyle w:val="ListBullet"/>
        <w:tabs>
          <w:tab w:val="clear" w:pos="360"/>
          <w:tab w:val="num" w:pos="720"/>
        </w:tabs>
        <w:spacing w:before="120" w:after="120"/>
        <w:ind w:left="720"/>
        <w:contextualSpacing w:val="0"/>
      </w:pPr>
      <w:proofErr w:type="spellStart"/>
      <w:r w:rsidRPr="00B42E18">
        <w:t>ExportMontana</w:t>
      </w:r>
      <w:proofErr w:type="spellEnd"/>
      <w:r w:rsidRPr="00B42E18">
        <w:t xml:space="preserve"> will continue to develop their Export Accelerator manual and share via ExportMontana.com and through one-on-one technical assistance.</w:t>
      </w:r>
    </w:p>
    <w:p w14:paraId="0622C962" w14:textId="3B82BD57" w:rsidR="00B42E18" w:rsidRPr="00B42E18" w:rsidRDefault="00B42E18" w:rsidP="004E2E43">
      <w:pPr>
        <w:pStyle w:val="ListBullet"/>
        <w:tabs>
          <w:tab w:val="clear" w:pos="360"/>
          <w:tab w:val="num" w:pos="720"/>
        </w:tabs>
        <w:spacing w:before="120" w:after="120"/>
        <w:ind w:left="720"/>
        <w:contextualSpacing w:val="0"/>
      </w:pPr>
      <w:r w:rsidRPr="00B42E18">
        <w:t xml:space="preserve">Montana World Trade Center will continue to offer </w:t>
      </w:r>
      <w:proofErr w:type="spellStart"/>
      <w:r w:rsidRPr="00B42E18">
        <w:t>TechEx</w:t>
      </w:r>
      <w:proofErr w:type="spellEnd"/>
      <w:r w:rsidRPr="00B42E18">
        <w:t xml:space="preserve"> and other trainings.</w:t>
      </w:r>
    </w:p>
    <w:p w14:paraId="7F9473FD" w14:textId="378D0A99" w:rsidR="00B42E18" w:rsidRPr="00B42E18" w:rsidRDefault="00B42E18" w:rsidP="004E2E43">
      <w:pPr>
        <w:pStyle w:val="ListBullet"/>
        <w:tabs>
          <w:tab w:val="clear" w:pos="360"/>
          <w:tab w:val="num" w:pos="720"/>
        </w:tabs>
        <w:spacing w:before="120" w:after="120"/>
        <w:ind w:left="720"/>
        <w:contextualSpacing w:val="0"/>
      </w:pPr>
      <w:r w:rsidRPr="00B42E18">
        <w:t>US Export Assistance Center will continue to provide one-on-one technical assistance and to assist with trainings.</w:t>
      </w:r>
    </w:p>
    <w:p w14:paraId="7D32BB5D" w14:textId="77777777" w:rsidR="00B42E18" w:rsidRPr="00B42E18" w:rsidRDefault="00B42E18" w:rsidP="004E2E43">
      <w:pPr>
        <w:pStyle w:val="Heading1"/>
      </w:pPr>
      <w:r w:rsidRPr="00B42E18">
        <w:t>DEC Website</w:t>
      </w:r>
    </w:p>
    <w:p w14:paraId="1E4AE9A1" w14:textId="77777777" w:rsidR="00B42E18" w:rsidRPr="00B42E18" w:rsidRDefault="00B42E18" w:rsidP="004E2E43">
      <w:pPr>
        <w:spacing w:before="120" w:after="120"/>
      </w:pPr>
      <w:r w:rsidRPr="00B42E18">
        <w:lastRenderedPageBreak/>
        <w:t xml:space="preserve">The DEC website will provide Montana exporters with export resources in support of the DEC mission, including: </w:t>
      </w:r>
    </w:p>
    <w:p w14:paraId="3AF18F4B" w14:textId="41015983" w:rsidR="00B42E18" w:rsidRPr="00B42E18" w:rsidRDefault="00B42E18" w:rsidP="004E2E43">
      <w:pPr>
        <w:pStyle w:val="ListBullet"/>
        <w:spacing w:before="120" w:after="120"/>
        <w:ind w:left="720"/>
        <w:contextualSpacing w:val="0"/>
      </w:pPr>
      <w:r w:rsidRPr="00B42E18">
        <w:t>Information necessary to provide advocacy on trade issues on behalf of the state’s exporters</w:t>
      </w:r>
    </w:p>
    <w:p w14:paraId="601306DD" w14:textId="5DA93FCC" w:rsidR="00B42E18" w:rsidRPr="00B42E18" w:rsidRDefault="00B42E18" w:rsidP="004E2E43">
      <w:pPr>
        <w:pStyle w:val="ListBullet"/>
        <w:spacing w:before="120" w:after="120"/>
        <w:ind w:left="720"/>
        <w:contextualSpacing w:val="0"/>
      </w:pPr>
      <w:r w:rsidRPr="00B42E18">
        <w:t>Export education resources and events</w:t>
      </w:r>
    </w:p>
    <w:p w14:paraId="54FB2539" w14:textId="25FC5DDA" w:rsidR="00B42E18" w:rsidRPr="00B42E18" w:rsidRDefault="00B42E18" w:rsidP="004E2E43">
      <w:pPr>
        <w:pStyle w:val="ListBullet"/>
        <w:spacing w:before="120" w:after="120"/>
        <w:ind w:left="720"/>
        <w:contextualSpacing w:val="0"/>
      </w:pPr>
      <w:r w:rsidRPr="00B42E18">
        <w:t>Contact information for export mentors</w:t>
      </w:r>
    </w:p>
    <w:p w14:paraId="41CFECD9" w14:textId="77777777" w:rsidR="00B42E18" w:rsidRPr="00B42E18" w:rsidRDefault="00B42E18" w:rsidP="004E2E43">
      <w:pPr>
        <w:pStyle w:val="Heading2"/>
        <w:spacing w:before="120" w:after="120"/>
      </w:pPr>
      <w:r w:rsidRPr="00B42E18">
        <w:t xml:space="preserve">Action Items: </w:t>
      </w:r>
    </w:p>
    <w:p w14:paraId="60BE254F" w14:textId="77777777" w:rsidR="00B42E18" w:rsidRPr="00B42E18" w:rsidRDefault="00B42E18" w:rsidP="004E2E43">
      <w:pPr>
        <w:spacing w:before="120" w:after="120"/>
        <w:ind w:left="360"/>
      </w:pPr>
      <w:r w:rsidRPr="00B42E18">
        <w:rPr>
          <w:rFonts w:ascii="Century Gothic" w:hAnsi="Century Gothic" w:cs="Century Gothic"/>
        </w:rPr>
        <w:t></w:t>
      </w:r>
      <w:r w:rsidRPr="00B42E18">
        <w:t>      By June 30, Angie will draft a website outline for review at the next DEC meeting.</w:t>
      </w:r>
    </w:p>
    <w:p w14:paraId="79AA37CA" w14:textId="77777777" w:rsidR="00B42E18" w:rsidRPr="00B42E18" w:rsidRDefault="00B42E18" w:rsidP="004E2E43">
      <w:pPr>
        <w:spacing w:before="120" w:after="120"/>
        <w:ind w:left="360"/>
      </w:pPr>
      <w:r w:rsidRPr="00B42E18">
        <w:rPr>
          <w:rFonts w:ascii="Century Gothic" w:hAnsi="Century Gothic" w:cs="Century Gothic"/>
        </w:rPr>
        <w:t></w:t>
      </w:r>
      <w:r w:rsidRPr="00B42E18">
        <w:t>      By June 30, Jenni will send Angie the DEC members group picture for the website.</w:t>
      </w:r>
    </w:p>
    <w:p w14:paraId="122B3666" w14:textId="77777777" w:rsidR="00B42E18" w:rsidRPr="00B42E18" w:rsidRDefault="00B42E18" w:rsidP="004E2E43">
      <w:pPr>
        <w:pStyle w:val="Heading1"/>
      </w:pPr>
      <w:r w:rsidRPr="00B42E18">
        <w:t>Export Policies</w:t>
      </w:r>
    </w:p>
    <w:p w14:paraId="1ED29DD4" w14:textId="77777777" w:rsidR="00B42E18" w:rsidRPr="00B42E18" w:rsidRDefault="00B42E18" w:rsidP="004E2E43">
      <w:pPr>
        <w:spacing w:before="120" w:after="120"/>
      </w:pPr>
      <w:r w:rsidRPr="00B42E18">
        <w:t xml:space="preserve">DEC is currently reviewing the following export policies to assess their impact on Montana exports and the need for providing input to policy makers.  </w:t>
      </w:r>
    </w:p>
    <w:p w14:paraId="10FD9F64" w14:textId="77777777" w:rsidR="00B42E18" w:rsidRPr="00B42E18" w:rsidRDefault="00B42E18" w:rsidP="004E2E43">
      <w:pPr>
        <w:pStyle w:val="Heading2"/>
        <w:spacing w:before="120" w:after="120"/>
      </w:pPr>
      <w:r w:rsidRPr="00B42E18">
        <w:t>Currently under review:</w:t>
      </w:r>
    </w:p>
    <w:p w14:paraId="6CD87CD8" w14:textId="5FFFFA1E" w:rsidR="00B42E18" w:rsidRPr="00B42E18" w:rsidRDefault="00B42E18" w:rsidP="004E2E43">
      <w:pPr>
        <w:pStyle w:val="ListBullet"/>
        <w:spacing w:before="120" w:after="120"/>
        <w:ind w:left="720"/>
        <w:contextualSpacing w:val="0"/>
      </w:pPr>
      <w:r w:rsidRPr="00B42E18">
        <w:t>301 Investigation. Properly titled “FINDINGS OF THE INVESTIGATION INTO CHINA’S ACTS, POLICIES, AND PRACTICES RELATED TO TECHNOLOGY TRANSFER, INTELLECTUAL PROPERTY, AND INNOVATION UNDER SECTION 301 OF THE TRADE ACT OF 1974”.</w:t>
      </w:r>
    </w:p>
    <w:p w14:paraId="483A492E" w14:textId="77777777" w:rsidR="00B42E18" w:rsidRPr="00B42E18" w:rsidRDefault="00B42E18" w:rsidP="004E2E43">
      <w:pPr>
        <w:pStyle w:val="Heading2"/>
        <w:spacing w:before="120" w:after="120"/>
      </w:pPr>
      <w:r w:rsidRPr="00B42E18">
        <w:t xml:space="preserve">For future review: </w:t>
      </w:r>
    </w:p>
    <w:p w14:paraId="7F1633F6" w14:textId="476969F3" w:rsidR="00B42E18" w:rsidRPr="00B42E18" w:rsidRDefault="00B42E18" w:rsidP="004E2E43">
      <w:pPr>
        <w:pStyle w:val="ListBullet"/>
        <w:spacing w:before="120" w:after="120"/>
        <w:ind w:left="720"/>
        <w:contextualSpacing w:val="0"/>
      </w:pPr>
      <w:r w:rsidRPr="00B42E18">
        <w:t>Steel and aluminum tariffs.  Properly titled “Section 232 Investigation on the Effect of Imports of Steel on U.S. National Security”.</w:t>
      </w:r>
    </w:p>
    <w:p w14:paraId="11D464CC" w14:textId="07FDDFA9" w:rsidR="00B42E18" w:rsidRPr="00B42E18" w:rsidRDefault="00B42E18" w:rsidP="004E2E43">
      <w:pPr>
        <w:pStyle w:val="ListBullet"/>
        <w:spacing w:before="120" w:after="120"/>
        <w:ind w:left="720"/>
        <w:contextualSpacing w:val="0"/>
      </w:pPr>
      <w:r w:rsidRPr="00B42E18">
        <w:t>Solar panel import tariffs.  Regarding a unanimous ruling by the International Trade Commission (ITC) that U.S. solar-panel producers have been damaged by imports of crystalline silicon photovoltaic (CSPV) cells.</w:t>
      </w:r>
    </w:p>
    <w:p w14:paraId="1C2BA67A" w14:textId="77777777" w:rsidR="00B42E18" w:rsidRPr="00B42E18" w:rsidRDefault="00B42E18" w:rsidP="004E2E43">
      <w:pPr>
        <w:pStyle w:val="Heading2"/>
        <w:spacing w:before="120" w:after="120"/>
      </w:pPr>
      <w:r w:rsidRPr="00B42E18">
        <w:t>Action Items</w:t>
      </w:r>
    </w:p>
    <w:p w14:paraId="519E4AEB" w14:textId="77777777" w:rsidR="00B42E18" w:rsidRPr="00B42E18" w:rsidRDefault="00B42E18" w:rsidP="004E2E43">
      <w:pPr>
        <w:pStyle w:val="ListBullet"/>
        <w:numPr>
          <w:ilvl w:val="0"/>
          <w:numId w:val="0"/>
        </w:numPr>
        <w:spacing w:before="120" w:after="120"/>
        <w:ind w:left="360" w:hanging="360"/>
        <w:contextualSpacing w:val="0"/>
      </w:pPr>
      <w:r w:rsidRPr="00B42E18">
        <w:rPr>
          <w:rFonts w:ascii="Century Gothic" w:hAnsi="Century Gothic" w:cs="Century Gothic"/>
        </w:rPr>
        <w:t></w:t>
      </w:r>
      <w:r w:rsidRPr="00B42E18">
        <w:t xml:space="preserve">      By mid-June: </w:t>
      </w:r>
    </w:p>
    <w:p w14:paraId="40AD06D7" w14:textId="32A2B398" w:rsidR="00B42E18" w:rsidRPr="00B42E18" w:rsidRDefault="00B42E18" w:rsidP="004E2E43">
      <w:pPr>
        <w:pStyle w:val="ListBullet"/>
        <w:tabs>
          <w:tab w:val="clear" w:pos="360"/>
        </w:tabs>
        <w:spacing w:before="120" w:after="120"/>
        <w:ind w:left="900"/>
        <w:contextualSpacing w:val="0"/>
      </w:pPr>
      <w:r w:rsidRPr="00B42E18">
        <w:t xml:space="preserve">Carey will email to the DEC members information on the 301 Investigation.  </w:t>
      </w:r>
    </w:p>
    <w:p w14:paraId="48EC4E68" w14:textId="28942A04" w:rsidR="00B42E18" w:rsidRPr="00B42E18" w:rsidRDefault="00B42E18" w:rsidP="004E2E43">
      <w:pPr>
        <w:pStyle w:val="ListBullet"/>
        <w:tabs>
          <w:tab w:val="clear" w:pos="360"/>
        </w:tabs>
        <w:spacing w:before="120" w:after="120"/>
        <w:ind w:left="900"/>
        <w:contextualSpacing w:val="0"/>
      </w:pPr>
      <w:r w:rsidRPr="00B42E18">
        <w:t>Jenni will provide any available information from the National DEC.</w:t>
      </w:r>
    </w:p>
    <w:p w14:paraId="2C88BFA1" w14:textId="3A5A6CA1" w:rsidR="00B42E18" w:rsidRPr="00B42E18" w:rsidRDefault="00B42E18" w:rsidP="004E2E43">
      <w:pPr>
        <w:pStyle w:val="ListBullet"/>
        <w:tabs>
          <w:tab w:val="clear" w:pos="360"/>
        </w:tabs>
        <w:spacing w:before="120" w:after="120"/>
        <w:ind w:left="900"/>
        <w:contextualSpacing w:val="0"/>
      </w:pPr>
      <w:r w:rsidRPr="00B42E18">
        <w:t>Adam will request input from the Montana Manufacturers Association.</w:t>
      </w:r>
    </w:p>
    <w:p w14:paraId="152C40C8" w14:textId="2F0CCE0B" w:rsidR="00B42E18" w:rsidRPr="00B42E18" w:rsidRDefault="00B42E18" w:rsidP="004E2E43">
      <w:pPr>
        <w:pStyle w:val="ListBullet"/>
        <w:tabs>
          <w:tab w:val="clear" w:pos="360"/>
        </w:tabs>
        <w:spacing w:before="120" w:after="120"/>
        <w:ind w:left="900"/>
        <w:contextualSpacing w:val="0"/>
      </w:pPr>
      <w:r w:rsidRPr="00B42E18">
        <w:t>Scott will provide information from Rocky Mountain Bank’s resources.</w:t>
      </w:r>
    </w:p>
    <w:p w14:paraId="5DBE0276" w14:textId="6C65495E" w:rsidR="00B42E18" w:rsidRPr="00947C82" w:rsidRDefault="00B42E18" w:rsidP="004E2E43">
      <w:pPr>
        <w:pStyle w:val="ListBullet"/>
        <w:tabs>
          <w:tab w:val="clear" w:pos="360"/>
        </w:tabs>
        <w:spacing w:before="120" w:after="120"/>
        <w:ind w:left="900"/>
        <w:contextualSpacing w:val="0"/>
        <w:rPr>
          <w:highlight w:val="yellow"/>
        </w:rPr>
      </w:pPr>
      <w:r w:rsidRPr="00947C82">
        <w:rPr>
          <w:highlight w:val="yellow"/>
        </w:rPr>
        <w:t>ADAM, CAREY: IS THIS WISE?  WOULD IT BE HELPFUL?  DEC will survey Montana exporters to discover stories of how they were impacted by China’s practices related to tech transfer, IP, etc.</w:t>
      </w:r>
    </w:p>
    <w:p w14:paraId="5D713F7C" w14:textId="77777777" w:rsidR="00B42E18" w:rsidRPr="00B42E18" w:rsidRDefault="00B42E18" w:rsidP="004E2E43">
      <w:pPr>
        <w:pStyle w:val="ListBullet"/>
        <w:numPr>
          <w:ilvl w:val="0"/>
          <w:numId w:val="0"/>
        </w:numPr>
        <w:spacing w:before="120" w:after="120"/>
        <w:ind w:left="540" w:hanging="540"/>
        <w:contextualSpacing w:val="0"/>
      </w:pPr>
      <w:r w:rsidRPr="00B42E18">
        <w:rPr>
          <w:rFonts w:ascii="Century Gothic" w:hAnsi="Century Gothic" w:cs="Century Gothic"/>
        </w:rPr>
        <w:t></w:t>
      </w:r>
      <w:r w:rsidRPr="00B42E18">
        <w:t>      By the end of June, Angie will host a webinar for DEC members in which Carey will provide a brief of the findings and the Office of the US Trade Representative’s proposed actions.</w:t>
      </w:r>
    </w:p>
    <w:p w14:paraId="5C9D50FC" w14:textId="77777777" w:rsidR="00B42E18" w:rsidRPr="00B42E18" w:rsidRDefault="00B42E18" w:rsidP="004E2E43">
      <w:pPr>
        <w:pStyle w:val="Heading1"/>
      </w:pPr>
      <w:r w:rsidRPr="00B42E18">
        <w:t>DEC Fundraising</w:t>
      </w:r>
    </w:p>
    <w:p w14:paraId="1A38C4B1" w14:textId="77777777" w:rsidR="00B42E18" w:rsidRPr="00B42E18" w:rsidRDefault="00B42E18" w:rsidP="004E2E43">
      <w:pPr>
        <w:spacing w:before="120" w:after="120"/>
      </w:pPr>
      <w:r w:rsidRPr="00B42E18">
        <w:t xml:space="preserve">DEC determined to address fundraising and funded activities as needed.  Possible fundraising needs could include: </w:t>
      </w:r>
    </w:p>
    <w:p w14:paraId="0EDE786B" w14:textId="56DACFD6" w:rsidR="00B42E18" w:rsidRPr="00B42E18" w:rsidRDefault="00B42E18" w:rsidP="004E2E43">
      <w:pPr>
        <w:pStyle w:val="ListBullet"/>
        <w:tabs>
          <w:tab w:val="clear" w:pos="360"/>
          <w:tab w:val="num" w:pos="720"/>
        </w:tabs>
        <w:spacing w:before="120" w:after="120"/>
        <w:ind w:left="720"/>
        <w:contextualSpacing w:val="0"/>
      </w:pPr>
      <w:r w:rsidRPr="00B42E18">
        <w:t>Education. DEC could pay costs to for international trade specialists to travel to Montana to host trainings, as well as costs associated with hosting other trainings.</w:t>
      </w:r>
    </w:p>
    <w:p w14:paraId="07BE6A9B" w14:textId="23643178" w:rsidR="00B42E18" w:rsidRPr="00B42E18" w:rsidRDefault="00B42E18" w:rsidP="004E2E43">
      <w:pPr>
        <w:pStyle w:val="ListBullet"/>
        <w:tabs>
          <w:tab w:val="clear" w:pos="360"/>
          <w:tab w:val="num" w:pos="720"/>
        </w:tabs>
        <w:spacing w:before="120" w:after="120"/>
        <w:ind w:left="720"/>
        <w:contextualSpacing w:val="0"/>
      </w:pPr>
      <w:r w:rsidRPr="00B42E18">
        <w:t>National DEC.  DEC could pay for travel costs for a DEC member to attend future National DEC meetings and to travel to DC to advocate on behalf of Montana exporters.</w:t>
      </w:r>
    </w:p>
    <w:p w14:paraId="2F0C6598" w14:textId="55CA8236" w:rsidR="00B42E18" w:rsidRPr="00B42E18" w:rsidRDefault="00B42E18" w:rsidP="004E2E43">
      <w:pPr>
        <w:pStyle w:val="ListBullet"/>
        <w:tabs>
          <w:tab w:val="clear" w:pos="360"/>
          <w:tab w:val="num" w:pos="720"/>
        </w:tabs>
        <w:spacing w:before="120" w:after="120"/>
        <w:ind w:left="720"/>
        <w:contextualSpacing w:val="0"/>
      </w:pPr>
      <w:r w:rsidRPr="00B42E18">
        <w:t>Interns.  DEC could hire interns to assist with DEC outreach and other DEC activities.</w:t>
      </w:r>
    </w:p>
    <w:p w14:paraId="09A25549" w14:textId="54F2459B" w:rsidR="00B42E18" w:rsidRPr="00B42E18" w:rsidRDefault="00B42E18" w:rsidP="004E2E43">
      <w:pPr>
        <w:pStyle w:val="ListBullet"/>
        <w:tabs>
          <w:tab w:val="clear" w:pos="360"/>
          <w:tab w:val="num" w:pos="720"/>
        </w:tabs>
        <w:spacing w:before="120" w:after="120"/>
        <w:ind w:left="720"/>
        <w:contextualSpacing w:val="0"/>
      </w:pPr>
      <w:r w:rsidRPr="00B42E18">
        <w:lastRenderedPageBreak/>
        <w:t>Other.  DEC will address additional fundraising needs and activities as they arise.</w:t>
      </w:r>
    </w:p>
    <w:p w14:paraId="33AE7590" w14:textId="77777777" w:rsidR="00B42E18" w:rsidRPr="00B42E18" w:rsidRDefault="00B42E18" w:rsidP="004E2E43">
      <w:pPr>
        <w:pStyle w:val="Heading1"/>
      </w:pPr>
      <w:r w:rsidRPr="00B42E18">
        <w:t>Montana Exporter of the Year Award</w:t>
      </w:r>
    </w:p>
    <w:p w14:paraId="46E0D6F3" w14:textId="77777777" w:rsidR="00B42E18" w:rsidRPr="00B42E18" w:rsidRDefault="00B42E18" w:rsidP="004E2E43">
      <w:pPr>
        <w:spacing w:before="120" w:after="120"/>
      </w:pPr>
      <w:r w:rsidRPr="00B42E18">
        <w:t xml:space="preserve">DEC will award the 2018 Exporter of the Year.  The plan is as follows: </w:t>
      </w:r>
    </w:p>
    <w:p w14:paraId="3AA3069D" w14:textId="6D652C0A" w:rsidR="00B42E18" w:rsidRPr="00B42E18" w:rsidRDefault="00B42E18" w:rsidP="004E2E43">
      <w:pPr>
        <w:pStyle w:val="ListBullet"/>
        <w:tabs>
          <w:tab w:val="clear" w:pos="360"/>
          <w:tab w:val="num" w:pos="720"/>
        </w:tabs>
        <w:spacing w:before="120" w:after="120"/>
        <w:ind w:left="720"/>
        <w:contextualSpacing w:val="0"/>
      </w:pPr>
      <w:r w:rsidRPr="00B42E18">
        <w:t xml:space="preserve">January.  </w:t>
      </w:r>
      <w:proofErr w:type="spellStart"/>
      <w:r w:rsidRPr="00B42E18">
        <w:t>ExportMontana</w:t>
      </w:r>
      <w:proofErr w:type="spellEnd"/>
      <w:r w:rsidRPr="00B42E18">
        <w:t xml:space="preserve"> will send out EOTY applications to Montana exporters.  DEC members will encourage their respective networks to apply.</w:t>
      </w:r>
    </w:p>
    <w:p w14:paraId="1B4182D0" w14:textId="5D576894" w:rsidR="00B42E18" w:rsidRPr="00B42E18" w:rsidRDefault="00B42E18" w:rsidP="004E2E43">
      <w:pPr>
        <w:pStyle w:val="ListBullet"/>
        <w:tabs>
          <w:tab w:val="clear" w:pos="360"/>
          <w:tab w:val="num" w:pos="720"/>
        </w:tabs>
        <w:spacing w:before="120" w:after="120"/>
        <w:ind w:left="720"/>
        <w:contextualSpacing w:val="0"/>
      </w:pPr>
      <w:r w:rsidRPr="00B42E18">
        <w:t>February.  Applications will be due.  DEC will choose the top 3-5 candidates for consideration.</w:t>
      </w:r>
    </w:p>
    <w:p w14:paraId="3B442DDE" w14:textId="7D53D3CC" w:rsidR="00B42E18" w:rsidRPr="00B42E18" w:rsidRDefault="00B42E18" w:rsidP="004E2E43">
      <w:pPr>
        <w:pStyle w:val="ListBullet"/>
        <w:tabs>
          <w:tab w:val="clear" w:pos="360"/>
          <w:tab w:val="num" w:pos="720"/>
        </w:tabs>
        <w:spacing w:before="120" w:after="120"/>
        <w:ind w:left="720"/>
        <w:contextualSpacing w:val="0"/>
      </w:pPr>
      <w:r w:rsidRPr="00B42E18">
        <w:t>March. DEC will interview top candidates.</w:t>
      </w:r>
    </w:p>
    <w:p w14:paraId="41A0825A" w14:textId="13F137BE" w:rsidR="00B42E18" w:rsidRPr="00B42E18" w:rsidRDefault="00B42E18" w:rsidP="004E2E43">
      <w:pPr>
        <w:pStyle w:val="ListBullet"/>
        <w:tabs>
          <w:tab w:val="clear" w:pos="360"/>
          <w:tab w:val="num" w:pos="720"/>
        </w:tabs>
        <w:spacing w:before="120" w:after="120"/>
        <w:ind w:left="720"/>
        <w:contextualSpacing w:val="0"/>
      </w:pPr>
      <w:r w:rsidRPr="00B42E18">
        <w:t>April. At the DEC meeting, DEC will choose the awardee.</w:t>
      </w:r>
    </w:p>
    <w:p w14:paraId="45B59554" w14:textId="27F4269A" w:rsidR="00B42E18" w:rsidRPr="00B42E18" w:rsidRDefault="00B42E18" w:rsidP="004E2E43">
      <w:pPr>
        <w:pStyle w:val="ListBullet"/>
        <w:tabs>
          <w:tab w:val="clear" w:pos="360"/>
          <w:tab w:val="num" w:pos="720"/>
        </w:tabs>
        <w:spacing w:before="120" w:after="120"/>
        <w:ind w:left="720"/>
        <w:contextualSpacing w:val="0"/>
      </w:pPr>
      <w:r w:rsidRPr="00B42E18">
        <w:t>May. DEC will announce the winner and recognize other applicants at the Montana Chamber’s Manufacturing &amp; International Trade Day.  At this event, DEC will also introduce attendees to the DEC’s mission and encourage additional membership.</w:t>
      </w:r>
    </w:p>
    <w:p w14:paraId="622EA12A" w14:textId="5C79ACB9" w:rsidR="00B42E18" w:rsidRPr="00B42E18" w:rsidRDefault="00B42E18" w:rsidP="004E2E43">
      <w:pPr>
        <w:pStyle w:val="ListBullet"/>
        <w:tabs>
          <w:tab w:val="clear" w:pos="360"/>
          <w:tab w:val="num" w:pos="720"/>
        </w:tabs>
        <w:spacing w:before="120" w:after="120"/>
        <w:ind w:left="720"/>
        <w:contextualSpacing w:val="0"/>
      </w:pPr>
      <w:r w:rsidRPr="00B42E18">
        <w:t xml:space="preserve">June. DEC will host an award ceremony in the awardee’s </w:t>
      </w:r>
      <w:proofErr w:type="gramStart"/>
      <w:r w:rsidRPr="00B42E18">
        <w:t>home town</w:t>
      </w:r>
      <w:proofErr w:type="gramEnd"/>
      <w:r w:rsidRPr="00B42E18">
        <w:t>.</w:t>
      </w:r>
    </w:p>
    <w:p w14:paraId="31E9A672" w14:textId="77777777" w:rsidR="00B42E18" w:rsidRPr="00B42E18" w:rsidRDefault="00B42E18" w:rsidP="004E2E43">
      <w:pPr>
        <w:pStyle w:val="Heading2"/>
        <w:spacing w:before="120" w:after="120"/>
      </w:pPr>
      <w:r w:rsidRPr="00B42E18">
        <w:t>Action Items</w:t>
      </w:r>
    </w:p>
    <w:p w14:paraId="6BA32340" w14:textId="77777777" w:rsidR="00B42E18" w:rsidRPr="00B42E18" w:rsidRDefault="00B42E18" w:rsidP="004E2E43">
      <w:pPr>
        <w:pStyle w:val="ListBullet"/>
        <w:numPr>
          <w:ilvl w:val="0"/>
          <w:numId w:val="0"/>
        </w:numPr>
        <w:spacing w:before="120" w:after="120"/>
        <w:ind w:left="540" w:hanging="540"/>
        <w:contextualSpacing w:val="0"/>
      </w:pPr>
      <w:r w:rsidRPr="00B42E18">
        <w:rPr>
          <w:rFonts w:ascii="Century Gothic" w:hAnsi="Century Gothic" w:cs="Century Gothic"/>
        </w:rPr>
        <w:t></w:t>
      </w:r>
      <w:r w:rsidRPr="00B42E18">
        <w:t>      By the end of June, Angie and Adam will draft EOTY guidelines and present to DEC for consideration at the July meeting.</w:t>
      </w:r>
    </w:p>
    <w:p w14:paraId="6C2D9DD2" w14:textId="77777777" w:rsidR="000724A7" w:rsidRDefault="000724A7" w:rsidP="004E2E43">
      <w:pPr>
        <w:pStyle w:val="Heading1"/>
      </w:pPr>
      <w:r>
        <w:t>Upcoming Events</w:t>
      </w:r>
    </w:p>
    <w:tbl>
      <w:tblPr>
        <w:tblStyle w:val="TableGrid"/>
        <w:tblW w:w="0" w:type="auto"/>
        <w:tblLook w:val="04A0" w:firstRow="1" w:lastRow="0" w:firstColumn="1" w:lastColumn="0" w:noHBand="0" w:noVBand="1"/>
      </w:tblPr>
      <w:tblGrid>
        <w:gridCol w:w="1255"/>
        <w:gridCol w:w="4500"/>
        <w:gridCol w:w="2337"/>
        <w:gridCol w:w="2698"/>
      </w:tblGrid>
      <w:tr w:rsidR="000C7578" w14:paraId="17DC6E0D" w14:textId="77777777" w:rsidTr="000C7578">
        <w:trPr>
          <w:tblHeader/>
        </w:trPr>
        <w:tc>
          <w:tcPr>
            <w:tcW w:w="1255" w:type="dxa"/>
          </w:tcPr>
          <w:p w14:paraId="2D0C6731" w14:textId="16480DE5" w:rsidR="000C7578" w:rsidRDefault="000C7578" w:rsidP="000C7578">
            <w:pPr>
              <w:pStyle w:val="Heading2"/>
              <w:spacing w:before="120" w:after="120"/>
              <w:outlineLvl w:val="1"/>
            </w:pPr>
            <w:r w:rsidRPr="007D617D">
              <w:t>Date</w:t>
            </w:r>
          </w:p>
        </w:tc>
        <w:tc>
          <w:tcPr>
            <w:tcW w:w="4500" w:type="dxa"/>
          </w:tcPr>
          <w:p w14:paraId="4FDF9DD7" w14:textId="5CC9AF14" w:rsidR="000C7578" w:rsidRDefault="000C7578" w:rsidP="000C7578">
            <w:pPr>
              <w:pStyle w:val="Heading2"/>
              <w:spacing w:before="120" w:after="120"/>
              <w:outlineLvl w:val="1"/>
            </w:pPr>
            <w:r w:rsidRPr="007D617D">
              <w:t>Event</w:t>
            </w:r>
          </w:p>
        </w:tc>
        <w:tc>
          <w:tcPr>
            <w:tcW w:w="2337" w:type="dxa"/>
          </w:tcPr>
          <w:p w14:paraId="50B70F2E" w14:textId="1F7E6C7A" w:rsidR="000C7578" w:rsidRDefault="000C7578" w:rsidP="000C7578">
            <w:pPr>
              <w:pStyle w:val="Heading2"/>
              <w:spacing w:before="120" w:after="120"/>
              <w:outlineLvl w:val="1"/>
            </w:pPr>
            <w:r w:rsidRPr="007D617D">
              <w:t>Location</w:t>
            </w:r>
          </w:p>
        </w:tc>
        <w:tc>
          <w:tcPr>
            <w:tcW w:w="2698" w:type="dxa"/>
          </w:tcPr>
          <w:p w14:paraId="19CE3BE5" w14:textId="362876B1" w:rsidR="000C7578" w:rsidRDefault="000C7578" w:rsidP="000C7578">
            <w:pPr>
              <w:pStyle w:val="Heading2"/>
              <w:spacing w:before="120" w:after="120"/>
              <w:outlineLvl w:val="1"/>
            </w:pPr>
            <w:r w:rsidRPr="007D617D">
              <w:t>Sponsor</w:t>
            </w:r>
          </w:p>
        </w:tc>
      </w:tr>
      <w:tr w:rsidR="000C7578" w:rsidRPr="00EB7C02" w14:paraId="0935D81D" w14:textId="77777777" w:rsidTr="000724A7">
        <w:tc>
          <w:tcPr>
            <w:tcW w:w="1255" w:type="dxa"/>
          </w:tcPr>
          <w:p w14:paraId="7E76A27D" w14:textId="495E3227" w:rsidR="000C7578" w:rsidRDefault="000C7578" w:rsidP="000C7578">
            <w:pPr>
              <w:spacing w:before="120" w:after="120"/>
            </w:pPr>
            <w:r w:rsidRPr="007D617D">
              <w:t>6/13/2018</w:t>
            </w:r>
          </w:p>
        </w:tc>
        <w:tc>
          <w:tcPr>
            <w:tcW w:w="4500" w:type="dxa"/>
          </w:tcPr>
          <w:p w14:paraId="28449756" w14:textId="3DB6D171" w:rsidR="000C7578" w:rsidRDefault="000C7578" w:rsidP="000C7578">
            <w:pPr>
              <w:spacing w:before="120" w:after="120"/>
            </w:pPr>
            <w:r w:rsidRPr="007D617D">
              <w:t>Food Safety HACCP and/or FSMA</w:t>
            </w:r>
          </w:p>
        </w:tc>
        <w:tc>
          <w:tcPr>
            <w:tcW w:w="2337" w:type="dxa"/>
          </w:tcPr>
          <w:p w14:paraId="6A6E96E1" w14:textId="298DBCA3" w:rsidR="000C7578" w:rsidRDefault="000C7578" w:rsidP="000C7578">
            <w:pPr>
              <w:spacing w:before="120" w:after="120"/>
            </w:pPr>
            <w:r w:rsidRPr="007D617D">
              <w:t>Kalispell, Flathead Valley Community College</w:t>
            </w:r>
          </w:p>
        </w:tc>
        <w:tc>
          <w:tcPr>
            <w:tcW w:w="2698" w:type="dxa"/>
          </w:tcPr>
          <w:p w14:paraId="2F9F315F" w14:textId="3D8A71DC" w:rsidR="000C7578" w:rsidRDefault="000C7578" w:rsidP="000C7578">
            <w:pPr>
              <w:spacing w:before="120" w:after="120"/>
            </w:pPr>
            <w:r w:rsidRPr="007D617D">
              <w:t>MMEC</w:t>
            </w:r>
          </w:p>
        </w:tc>
      </w:tr>
      <w:tr w:rsidR="000C7578" w14:paraId="5ABCBD40" w14:textId="77777777" w:rsidTr="000724A7">
        <w:tc>
          <w:tcPr>
            <w:tcW w:w="1255" w:type="dxa"/>
          </w:tcPr>
          <w:p w14:paraId="71B098C3" w14:textId="033EEB0E" w:rsidR="000C7578" w:rsidRDefault="000C7578" w:rsidP="000C7578">
            <w:pPr>
              <w:spacing w:before="120" w:after="120"/>
            </w:pPr>
            <w:r w:rsidRPr="007D617D">
              <w:t>7/16/2018</w:t>
            </w:r>
          </w:p>
        </w:tc>
        <w:tc>
          <w:tcPr>
            <w:tcW w:w="4500" w:type="dxa"/>
          </w:tcPr>
          <w:p w14:paraId="1EE174F1" w14:textId="1FCC1B4E" w:rsidR="000C7578" w:rsidRDefault="000C7578" w:rsidP="000C7578">
            <w:pPr>
              <w:spacing w:before="120" w:after="120"/>
            </w:pPr>
            <w:r w:rsidRPr="007D617D">
              <w:t>Intense Innovation</w:t>
            </w:r>
          </w:p>
        </w:tc>
        <w:tc>
          <w:tcPr>
            <w:tcW w:w="2337" w:type="dxa"/>
          </w:tcPr>
          <w:p w14:paraId="4A4FFE05" w14:textId="7440410C" w:rsidR="000C7578" w:rsidRDefault="000C7578" w:rsidP="000C7578">
            <w:pPr>
              <w:spacing w:before="120" w:after="120"/>
            </w:pPr>
            <w:r w:rsidRPr="007D617D">
              <w:t>Billings</w:t>
            </w:r>
          </w:p>
        </w:tc>
        <w:tc>
          <w:tcPr>
            <w:tcW w:w="2698" w:type="dxa"/>
          </w:tcPr>
          <w:p w14:paraId="79D0CFB1" w14:textId="600C65AA" w:rsidR="000C7578" w:rsidRDefault="000C7578" w:rsidP="000C7578">
            <w:pPr>
              <w:spacing w:before="120" w:after="120"/>
            </w:pPr>
            <w:r w:rsidRPr="007D617D">
              <w:t>MMEC</w:t>
            </w:r>
          </w:p>
        </w:tc>
      </w:tr>
      <w:tr w:rsidR="000C7578" w:rsidRPr="00EB7C02" w14:paraId="7796561E" w14:textId="77777777" w:rsidTr="000724A7">
        <w:tc>
          <w:tcPr>
            <w:tcW w:w="1255" w:type="dxa"/>
          </w:tcPr>
          <w:p w14:paraId="15B51526" w14:textId="56A511C8" w:rsidR="000C7578" w:rsidRDefault="000C7578" w:rsidP="000C7578">
            <w:pPr>
              <w:spacing w:before="120" w:after="120"/>
            </w:pPr>
            <w:r w:rsidRPr="007D617D">
              <w:t>7/17/2018</w:t>
            </w:r>
          </w:p>
        </w:tc>
        <w:tc>
          <w:tcPr>
            <w:tcW w:w="4500" w:type="dxa"/>
          </w:tcPr>
          <w:p w14:paraId="5EF8FE90" w14:textId="15A81C7F" w:rsidR="000C7578" w:rsidRDefault="000C7578" w:rsidP="000C7578">
            <w:pPr>
              <w:spacing w:before="120" w:after="120"/>
            </w:pPr>
            <w:r w:rsidRPr="007D617D">
              <w:t>Essentials of Lean Workshop MSLA</w:t>
            </w:r>
          </w:p>
        </w:tc>
        <w:tc>
          <w:tcPr>
            <w:tcW w:w="2337" w:type="dxa"/>
          </w:tcPr>
          <w:p w14:paraId="114AB727" w14:textId="6D59EAC2" w:rsidR="000C7578" w:rsidRDefault="000C7578" w:rsidP="000C7578">
            <w:pPr>
              <w:spacing w:before="120" w:after="120"/>
            </w:pPr>
            <w:r w:rsidRPr="007D617D">
              <w:t>Missoula College Room #112</w:t>
            </w:r>
          </w:p>
        </w:tc>
        <w:tc>
          <w:tcPr>
            <w:tcW w:w="2698" w:type="dxa"/>
          </w:tcPr>
          <w:p w14:paraId="7A6108AA" w14:textId="2D8FFE47" w:rsidR="000C7578" w:rsidRDefault="000C7578" w:rsidP="000C7578">
            <w:pPr>
              <w:spacing w:before="120" w:after="120"/>
            </w:pPr>
            <w:r w:rsidRPr="007D617D">
              <w:t>MMEC</w:t>
            </w:r>
          </w:p>
        </w:tc>
      </w:tr>
      <w:tr w:rsidR="000C7578" w14:paraId="69892A19" w14:textId="77777777" w:rsidTr="000724A7">
        <w:tc>
          <w:tcPr>
            <w:tcW w:w="1255" w:type="dxa"/>
          </w:tcPr>
          <w:p w14:paraId="5D72C08C" w14:textId="081AAF8E" w:rsidR="000C7578" w:rsidRDefault="000C7578" w:rsidP="000C7578">
            <w:pPr>
              <w:spacing w:before="120" w:after="120"/>
            </w:pPr>
            <w:r w:rsidRPr="007D617D">
              <w:t>8/21/2018</w:t>
            </w:r>
          </w:p>
        </w:tc>
        <w:tc>
          <w:tcPr>
            <w:tcW w:w="4500" w:type="dxa"/>
          </w:tcPr>
          <w:p w14:paraId="16519A3F" w14:textId="02CD9230" w:rsidR="000C7578" w:rsidRDefault="000C7578" w:rsidP="000C7578">
            <w:pPr>
              <w:spacing w:before="120" w:after="120"/>
            </w:pPr>
            <w:r w:rsidRPr="007D617D">
              <w:t>Food Safety HACCP and/or FSMA</w:t>
            </w:r>
          </w:p>
        </w:tc>
        <w:tc>
          <w:tcPr>
            <w:tcW w:w="2337" w:type="dxa"/>
          </w:tcPr>
          <w:p w14:paraId="53971F21" w14:textId="236DE660" w:rsidR="000C7578" w:rsidRDefault="000C7578" w:rsidP="000C7578">
            <w:pPr>
              <w:spacing w:before="120" w:after="120"/>
            </w:pPr>
            <w:r w:rsidRPr="007D617D">
              <w:t>Great Falls</w:t>
            </w:r>
          </w:p>
        </w:tc>
        <w:tc>
          <w:tcPr>
            <w:tcW w:w="2698" w:type="dxa"/>
          </w:tcPr>
          <w:p w14:paraId="67921053" w14:textId="4A2BA76D" w:rsidR="000C7578" w:rsidRDefault="000C7578" w:rsidP="000C7578">
            <w:pPr>
              <w:spacing w:before="120" w:after="120"/>
            </w:pPr>
            <w:r w:rsidRPr="007D617D">
              <w:t>MMEC</w:t>
            </w:r>
          </w:p>
        </w:tc>
      </w:tr>
      <w:tr w:rsidR="000C7578" w14:paraId="36E5BE0A" w14:textId="77777777" w:rsidTr="000724A7">
        <w:tc>
          <w:tcPr>
            <w:tcW w:w="1255" w:type="dxa"/>
          </w:tcPr>
          <w:p w14:paraId="4E20FB24" w14:textId="07C2D412" w:rsidR="000C7578" w:rsidRDefault="000C7578" w:rsidP="000C7578">
            <w:pPr>
              <w:spacing w:before="120" w:after="120"/>
            </w:pPr>
            <w:r w:rsidRPr="007D617D">
              <w:t>8/29/2018</w:t>
            </w:r>
          </w:p>
        </w:tc>
        <w:tc>
          <w:tcPr>
            <w:tcW w:w="4500" w:type="dxa"/>
          </w:tcPr>
          <w:p w14:paraId="624F69CB" w14:textId="584E775A" w:rsidR="000C7578" w:rsidRDefault="000C7578" w:rsidP="000C7578">
            <w:pPr>
              <w:spacing w:before="120" w:after="120"/>
            </w:pPr>
            <w:r w:rsidRPr="007D617D">
              <w:t>ISO 9001: 2015 Standard</w:t>
            </w:r>
          </w:p>
        </w:tc>
        <w:tc>
          <w:tcPr>
            <w:tcW w:w="2337" w:type="dxa"/>
          </w:tcPr>
          <w:p w14:paraId="1B9A8929" w14:textId="5545961B" w:rsidR="000C7578" w:rsidRDefault="000C7578" w:rsidP="000C7578">
            <w:pPr>
              <w:spacing w:before="120" w:after="120"/>
            </w:pPr>
            <w:r w:rsidRPr="007D617D">
              <w:t>TBD</w:t>
            </w:r>
          </w:p>
        </w:tc>
        <w:tc>
          <w:tcPr>
            <w:tcW w:w="2698" w:type="dxa"/>
          </w:tcPr>
          <w:p w14:paraId="128C9967" w14:textId="699C5E8D" w:rsidR="000C7578" w:rsidRDefault="000C7578" w:rsidP="000C7578">
            <w:pPr>
              <w:spacing w:before="120" w:after="120"/>
            </w:pPr>
            <w:r w:rsidRPr="007D617D">
              <w:t>MMEC</w:t>
            </w:r>
          </w:p>
        </w:tc>
      </w:tr>
      <w:tr w:rsidR="000C7578" w14:paraId="367ACE56" w14:textId="77777777" w:rsidTr="000724A7">
        <w:tc>
          <w:tcPr>
            <w:tcW w:w="1255" w:type="dxa"/>
          </w:tcPr>
          <w:p w14:paraId="26B85343" w14:textId="2EE431C6" w:rsidR="000C7578" w:rsidRPr="00EB7C02" w:rsidRDefault="000C7578" w:rsidP="000C7578">
            <w:pPr>
              <w:spacing w:before="120" w:after="120"/>
            </w:pPr>
            <w:r w:rsidRPr="007D617D">
              <w:t>9/18/2018</w:t>
            </w:r>
          </w:p>
        </w:tc>
        <w:tc>
          <w:tcPr>
            <w:tcW w:w="4500" w:type="dxa"/>
          </w:tcPr>
          <w:p w14:paraId="085EEBB6" w14:textId="035637A6" w:rsidR="000C7578" w:rsidRPr="00EB7C02" w:rsidRDefault="000C7578" w:rsidP="000C7578">
            <w:pPr>
              <w:spacing w:before="120" w:after="120"/>
            </w:pPr>
            <w:r w:rsidRPr="007D617D">
              <w:t>SME Lean Bronze Fall 2018</w:t>
            </w:r>
          </w:p>
        </w:tc>
        <w:tc>
          <w:tcPr>
            <w:tcW w:w="2337" w:type="dxa"/>
          </w:tcPr>
          <w:p w14:paraId="3C856BB3" w14:textId="1DA1900E" w:rsidR="000C7578" w:rsidRPr="00EB7C02" w:rsidRDefault="000C7578" w:rsidP="000C7578">
            <w:pPr>
              <w:spacing w:before="120" w:after="120"/>
            </w:pPr>
            <w:r w:rsidRPr="007D617D">
              <w:t>Kalispell</w:t>
            </w:r>
          </w:p>
        </w:tc>
        <w:tc>
          <w:tcPr>
            <w:tcW w:w="2698" w:type="dxa"/>
          </w:tcPr>
          <w:p w14:paraId="65818FE9" w14:textId="5A203E21" w:rsidR="000C7578" w:rsidRDefault="000C7578" w:rsidP="000C7578">
            <w:pPr>
              <w:spacing w:before="120" w:after="120"/>
            </w:pPr>
            <w:r w:rsidRPr="007D617D">
              <w:t>MMEC</w:t>
            </w:r>
          </w:p>
        </w:tc>
      </w:tr>
      <w:tr w:rsidR="000C7578" w14:paraId="5FD49944" w14:textId="77777777" w:rsidTr="000724A7">
        <w:tc>
          <w:tcPr>
            <w:tcW w:w="1255" w:type="dxa"/>
          </w:tcPr>
          <w:p w14:paraId="204A9A47" w14:textId="21FC580C" w:rsidR="000C7578" w:rsidRDefault="000C7578" w:rsidP="000C7578">
            <w:pPr>
              <w:spacing w:before="120" w:after="120"/>
            </w:pPr>
            <w:r w:rsidRPr="007D617D">
              <w:t>9/26/2018</w:t>
            </w:r>
          </w:p>
        </w:tc>
        <w:tc>
          <w:tcPr>
            <w:tcW w:w="4500" w:type="dxa"/>
          </w:tcPr>
          <w:p w14:paraId="690D51E2" w14:textId="68CA98F4" w:rsidR="000C7578" w:rsidRDefault="000C7578" w:rsidP="000C7578">
            <w:pPr>
              <w:spacing w:before="120" w:after="120"/>
            </w:pPr>
            <w:r w:rsidRPr="007D617D">
              <w:t>SME Lean Bronze Fall 2018</w:t>
            </w:r>
          </w:p>
        </w:tc>
        <w:tc>
          <w:tcPr>
            <w:tcW w:w="2337" w:type="dxa"/>
          </w:tcPr>
          <w:p w14:paraId="3F0B3EDE" w14:textId="3F5AA541" w:rsidR="000C7578" w:rsidRDefault="000C7578" w:rsidP="000C7578">
            <w:pPr>
              <w:spacing w:before="120" w:after="120"/>
            </w:pPr>
            <w:r w:rsidRPr="007D617D">
              <w:t>Bozeman</w:t>
            </w:r>
          </w:p>
        </w:tc>
        <w:tc>
          <w:tcPr>
            <w:tcW w:w="2698" w:type="dxa"/>
          </w:tcPr>
          <w:p w14:paraId="2D77967A" w14:textId="13827593" w:rsidR="000C7578" w:rsidRDefault="000C7578" w:rsidP="000C7578">
            <w:pPr>
              <w:spacing w:before="120" w:after="120"/>
            </w:pPr>
            <w:r w:rsidRPr="007D617D">
              <w:t>MMEC</w:t>
            </w:r>
          </w:p>
        </w:tc>
      </w:tr>
      <w:tr w:rsidR="000C7578" w14:paraId="6936B575" w14:textId="77777777" w:rsidTr="000724A7">
        <w:tc>
          <w:tcPr>
            <w:tcW w:w="1255" w:type="dxa"/>
          </w:tcPr>
          <w:p w14:paraId="7A08A276" w14:textId="0EE53C68" w:rsidR="000C7578" w:rsidRDefault="000C7578" w:rsidP="000C7578">
            <w:pPr>
              <w:spacing w:before="120" w:after="120"/>
            </w:pPr>
            <w:r w:rsidRPr="007D617D">
              <w:t>10/2/2018</w:t>
            </w:r>
          </w:p>
        </w:tc>
        <w:tc>
          <w:tcPr>
            <w:tcW w:w="4500" w:type="dxa"/>
          </w:tcPr>
          <w:p w14:paraId="384D8420" w14:textId="0B4B1782" w:rsidR="000C7578" w:rsidRDefault="000C7578" w:rsidP="000C7578">
            <w:pPr>
              <w:spacing w:before="120" w:after="120"/>
            </w:pPr>
            <w:r w:rsidRPr="007D617D">
              <w:t>SME Lean Bronze Fall 2018</w:t>
            </w:r>
          </w:p>
        </w:tc>
        <w:tc>
          <w:tcPr>
            <w:tcW w:w="2337" w:type="dxa"/>
          </w:tcPr>
          <w:p w14:paraId="10D291D3" w14:textId="5AD192C4" w:rsidR="000C7578" w:rsidRDefault="000C7578" w:rsidP="000C7578">
            <w:pPr>
              <w:spacing w:before="120" w:after="120"/>
            </w:pPr>
            <w:r w:rsidRPr="007D617D">
              <w:t>Missoula</w:t>
            </w:r>
          </w:p>
        </w:tc>
        <w:tc>
          <w:tcPr>
            <w:tcW w:w="2698" w:type="dxa"/>
          </w:tcPr>
          <w:p w14:paraId="79310917" w14:textId="34F8606A" w:rsidR="000C7578" w:rsidRDefault="000C7578" w:rsidP="000C7578">
            <w:pPr>
              <w:spacing w:before="120" w:after="120"/>
            </w:pPr>
            <w:r w:rsidRPr="007D617D">
              <w:t>MMEC</w:t>
            </w:r>
          </w:p>
        </w:tc>
      </w:tr>
      <w:tr w:rsidR="000C7578" w14:paraId="5AED46CE" w14:textId="77777777" w:rsidTr="000724A7">
        <w:tc>
          <w:tcPr>
            <w:tcW w:w="1255" w:type="dxa"/>
          </w:tcPr>
          <w:p w14:paraId="0DE7ACDF" w14:textId="37979BF9" w:rsidR="000C7578" w:rsidRDefault="000C7578" w:rsidP="000C7578">
            <w:pPr>
              <w:spacing w:before="120" w:after="120"/>
            </w:pPr>
            <w:r w:rsidRPr="007D617D">
              <w:t>12/10-12/2018</w:t>
            </w:r>
          </w:p>
        </w:tc>
        <w:tc>
          <w:tcPr>
            <w:tcW w:w="4500" w:type="dxa"/>
          </w:tcPr>
          <w:p w14:paraId="0BDF941F" w14:textId="4E4774A6" w:rsidR="000C7578" w:rsidRDefault="000C7578" w:rsidP="000C7578">
            <w:pPr>
              <w:spacing w:before="120" w:after="120"/>
            </w:pPr>
            <w:r w:rsidRPr="007D617D">
              <w:t>IQA ISO 13485</w:t>
            </w:r>
          </w:p>
        </w:tc>
        <w:tc>
          <w:tcPr>
            <w:tcW w:w="2337" w:type="dxa"/>
          </w:tcPr>
          <w:p w14:paraId="1B422A14" w14:textId="2652F24D" w:rsidR="000C7578" w:rsidRDefault="000C7578" w:rsidP="000C7578">
            <w:pPr>
              <w:spacing w:before="120" w:after="120"/>
            </w:pPr>
            <w:r w:rsidRPr="007D617D">
              <w:t>TBD</w:t>
            </w:r>
          </w:p>
        </w:tc>
        <w:tc>
          <w:tcPr>
            <w:tcW w:w="2698" w:type="dxa"/>
          </w:tcPr>
          <w:p w14:paraId="5454F950" w14:textId="57264053" w:rsidR="000C7578" w:rsidRDefault="000C7578" w:rsidP="000C7578">
            <w:pPr>
              <w:spacing w:before="120" w:after="120"/>
            </w:pPr>
            <w:r w:rsidRPr="007D617D">
              <w:t>MMEC</w:t>
            </w:r>
          </w:p>
        </w:tc>
      </w:tr>
      <w:tr w:rsidR="000C7578" w14:paraId="065C6A65" w14:textId="77777777" w:rsidTr="000724A7">
        <w:tc>
          <w:tcPr>
            <w:tcW w:w="1255" w:type="dxa"/>
          </w:tcPr>
          <w:p w14:paraId="51A11839" w14:textId="717E8D83" w:rsidR="000C7578" w:rsidRDefault="000C7578" w:rsidP="000C7578">
            <w:pPr>
              <w:spacing w:before="120" w:after="120"/>
            </w:pPr>
            <w:r w:rsidRPr="007D617D">
              <w:t>12/19/2018</w:t>
            </w:r>
          </w:p>
        </w:tc>
        <w:tc>
          <w:tcPr>
            <w:tcW w:w="4500" w:type="dxa"/>
          </w:tcPr>
          <w:p w14:paraId="2C2B2E4E" w14:textId="1F07C0DF" w:rsidR="000C7578" w:rsidRDefault="000C7578" w:rsidP="000C7578">
            <w:pPr>
              <w:spacing w:before="120" w:after="120"/>
            </w:pPr>
            <w:r w:rsidRPr="007D617D">
              <w:t>Preventative Controls Qualified Individual )PCQI 2018</w:t>
            </w:r>
          </w:p>
        </w:tc>
        <w:tc>
          <w:tcPr>
            <w:tcW w:w="2337" w:type="dxa"/>
          </w:tcPr>
          <w:p w14:paraId="0F9C39E2" w14:textId="077EDC3E" w:rsidR="000C7578" w:rsidRDefault="000C7578" w:rsidP="000C7578">
            <w:pPr>
              <w:spacing w:before="120" w:after="120"/>
            </w:pPr>
            <w:r w:rsidRPr="007D617D">
              <w:t>Bozeman</w:t>
            </w:r>
          </w:p>
        </w:tc>
        <w:tc>
          <w:tcPr>
            <w:tcW w:w="2698" w:type="dxa"/>
          </w:tcPr>
          <w:p w14:paraId="77655AE1" w14:textId="28D3F6F7" w:rsidR="000C7578" w:rsidRDefault="000C7578" w:rsidP="000C7578">
            <w:pPr>
              <w:spacing w:before="120" w:after="120"/>
            </w:pPr>
            <w:r w:rsidRPr="007D617D">
              <w:t>MMEC</w:t>
            </w:r>
          </w:p>
        </w:tc>
      </w:tr>
      <w:tr w:rsidR="000C7578" w14:paraId="28846A00" w14:textId="77777777" w:rsidTr="000724A7">
        <w:tc>
          <w:tcPr>
            <w:tcW w:w="1255" w:type="dxa"/>
          </w:tcPr>
          <w:p w14:paraId="1211A36E" w14:textId="00794B84" w:rsidR="000C7578" w:rsidRDefault="000C7578" w:rsidP="000C7578">
            <w:pPr>
              <w:spacing w:before="120" w:after="120"/>
            </w:pPr>
          </w:p>
        </w:tc>
        <w:tc>
          <w:tcPr>
            <w:tcW w:w="4500" w:type="dxa"/>
          </w:tcPr>
          <w:p w14:paraId="49B7719A" w14:textId="61F49EB4" w:rsidR="000C7578" w:rsidRDefault="000C7578" w:rsidP="000C7578">
            <w:pPr>
              <w:spacing w:before="120" w:after="120"/>
            </w:pPr>
          </w:p>
        </w:tc>
        <w:tc>
          <w:tcPr>
            <w:tcW w:w="2337" w:type="dxa"/>
          </w:tcPr>
          <w:p w14:paraId="1D8DF518" w14:textId="77AA7919" w:rsidR="000C7578" w:rsidRDefault="000C7578" w:rsidP="000C7578">
            <w:pPr>
              <w:spacing w:before="120" w:after="120"/>
            </w:pPr>
          </w:p>
        </w:tc>
        <w:tc>
          <w:tcPr>
            <w:tcW w:w="2698" w:type="dxa"/>
          </w:tcPr>
          <w:p w14:paraId="6A004C85" w14:textId="51E5CB06" w:rsidR="000C7578" w:rsidRDefault="000C7578" w:rsidP="000C7578">
            <w:pPr>
              <w:spacing w:before="120" w:after="120"/>
            </w:pPr>
          </w:p>
        </w:tc>
      </w:tr>
      <w:tr w:rsidR="000C7578" w14:paraId="1D0723B9" w14:textId="77777777" w:rsidTr="000724A7">
        <w:tc>
          <w:tcPr>
            <w:tcW w:w="1255" w:type="dxa"/>
          </w:tcPr>
          <w:p w14:paraId="521BBA93" w14:textId="6937D71D" w:rsidR="000C7578" w:rsidRDefault="000C7578" w:rsidP="000C7578">
            <w:pPr>
              <w:spacing w:before="120" w:after="120"/>
            </w:pPr>
          </w:p>
        </w:tc>
        <w:tc>
          <w:tcPr>
            <w:tcW w:w="4500" w:type="dxa"/>
          </w:tcPr>
          <w:p w14:paraId="0CD1762B" w14:textId="219EEEB2" w:rsidR="000C7578" w:rsidRDefault="000C7578" w:rsidP="000C7578">
            <w:pPr>
              <w:spacing w:before="120" w:after="120"/>
            </w:pPr>
          </w:p>
        </w:tc>
        <w:tc>
          <w:tcPr>
            <w:tcW w:w="2337" w:type="dxa"/>
          </w:tcPr>
          <w:p w14:paraId="5AAEFE26" w14:textId="2964F886" w:rsidR="000C7578" w:rsidRDefault="000C7578" w:rsidP="000C7578">
            <w:pPr>
              <w:spacing w:before="120" w:after="120"/>
            </w:pPr>
          </w:p>
        </w:tc>
        <w:tc>
          <w:tcPr>
            <w:tcW w:w="2698" w:type="dxa"/>
          </w:tcPr>
          <w:p w14:paraId="0658F04B" w14:textId="4852BE8D" w:rsidR="000C7578" w:rsidRDefault="000C7578" w:rsidP="000C7578">
            <w:pPr>
              <w:spacing w:before="120" w:after="120"/>
            </w:pPr>
          </w:p>
        </w:tc>
      </w:tr>
      <w:tr w:rsidR="000C7578" w14:paraId="425B63C9" w14:textId="77777777" w:rsidTr="000724A7">
        <w:tc>
          <w:tcPr>
            <w:tcW w:w="1255" w:type="dxa"/>
          </w:tcPr>
          <w:p w14:paraId="7FB59087" w14:textId="0ABD8DE4" w:rsidR="000C7578" w:rsidRDefault="000C7578" w:rsidP="000C7578">
            <w:pPr>
              <w:spacing w:before="120" w:after="120"/>
            </w:pPr>
          </w:p>
        </w:tc>
        <w:tc>
          <w:tcPr>
            <w:tcW w:w="4500" w:type="dxa"/>
          </w:tcPr>
          <w:p w14:paraId="7376907D" w14:textId="5E1C9CF0" w:rsidR="000C7578" w:rsidRDefault="000C7578" w:rsidP="000C7578">
            <w:pPr>
              <w:spacing w:before="120" w:after="120"/>
            </w:pPr>
          </w:p>
        </w:tc>
        <w:tc>
          <w:tcPr>
            <w:tcW w:w="2337" w:type="dxa"/>
          </w:tcPr>
          <w:p w14:paraId="2691F895" w14:textId="3E33A3B8" w:rsidR="000C7578" w:rsidRDefault="000C7578" w:rsidP="000C7578">
            <w:pPr>
              <w:spacing w:before="120" w:after="120"/>
            </w:pPr>
          </w:p>
        </w:tc>
        <w:tc>
          <w:tcPr>
            <w:tcW w:w="2698" w:type="dxa"/>
          </w:tcPr>
          <w:p w14:paraId="48FA38A1" w14:textId="1E445312" w:rsidR="000C7578" w:rsidRDefault="000C7578" w:rsidP="000C7578">
            <w:pPr>
              <w:spacing w:before="120" w:after="120"/>
            </w:pPr>
          </w:p>
        </w:tc>
      </w:tr>
      <w:tr w:rsidR="000C7578" w14:paraId="6D408276" w14:textId="77777777" w:rsidTr="000724A7">
        <w:tc>
          <w:tcPr>
            <w:tcW w:w="1255" w:type="dxa"/>
          </w:tcPr>
          <w:p w14:paraId="0A87C1F9" w14:textId="42127C70" w:rsidR="000C7578" w:rsidRDefault="000C7578" w:rsidP="000C7578">
            <w:pPr>
              <w:spacing w:before="120" w:after="120"/>
            </w:pPr>
          </w:p>
        </w:tc>
        <w:tc>
          <w:tcPr>
            <w:tcW w:w="4500" w:type="dxa"/>
          </w:tcPr>
          <w:p w14:paraId="15293671" w14:textId="5C65A25C" w:rsidR="000C7578" w:rsidRDefault="000C7578" w:rsidP="000C7578">
            <w:pPr>
              <w:spacing w:before="120" w:after="120"/>
            </w:pPr>
          </w:p>
        </w:tc>
        <w:tc>
          <w:tcPr>
            <w:tcW w:w="2337" w:type="dxa"/>
          </w:tcPr>
          <w:p w14:paraId="691A3D61" w14:textId="0105F3C6" w:rsidR="000C7578" w:rsidRDefault="000C7578" w:rsidP="000C7578">
            <w:pPr>
              <w:spacing w:before="120" w:after="120"/>
            </w:pPr>
          </w:p>
        </w:tc>
        <w:tc>
          <w:tcPr>
            <w:tcW w:w="2698" w:type="dxa"/>
          </w:tcPr>
          <w:p w14:paraId="2EB19226" w14:textId="24F90A1E" w:rsidR="000C7578" w:rsidRDefault="000C7578" w:rsidP="000C7578">
            <w:pPr>
              <w:spacing w:before="120" w:after="120"/>
            </w:pPr>
          </w:p>
        </w:tc>
      </w:tr>
    </w:tbl>
    <w:p w14:paraId="72DC3E50" w14:textId="77777777" w:rsidR="00155EF9" w:rsidRDefault="00155EF9" w:rsidP="004E2E43">
      <w:pPr>
        <w:pStyle w:val="Heading1"/>
      </w:pPr>
      <w:r>
        <w:t>Next Meeting</w:t>
      </w:r>
    </w:p>
    <w:p w14:paraId="2710D65A" w14:textId="77777777" w:rsidR="00B42E18" w:rsidRPr="00B42E18" w:rsidRDefault="00B42E18" w:rsidP="004E2E43">
      <w:pPr>
        <w:pStyle w:val="ListParagraph"/>
        <w:numPr>
          <w:ilvl w:val="0"/>
          <w:numId w:val="30"/>
        </w:numPr>
        <w:spacing w:before="120" w:after="120"/>
        <w:contextualSpacing w:val="0"/>
      </w:pPr>
      <w:r w:rsidRPr="00B42E18">
        <w:t xml:space="preserve">Tuesday, July 17, 2-4 pm, Bozeman.  </w:t>
      </w:r>
    </w:p>
    <w:p w14:paraId="4BFC0878" w14:textId="77777777" w:rsidR="00B42E18" w:rsidRPr="00B42E18" w:rsidRDefault="00B42E18" w:rsidP="004E2E43">
      <w:pPr>
        <w:pStyle w:val="ListParagraph"/>
        <w:numPr>
          <w:ilvl w:val="0"/>
          <w:numId w:val="30"/>
        </w:numPr>
        <w:spacing w:before="120" w:after="120"/>
        <w:contextualSpacing w:val="0"/>
        <w:rPr>
          <w:highlight w:val="yellow"/>
        </w:rPr>
      </w:pPr>
      <w:proofErr w:type="gramStart"/>
      <w:r w:rsidRPr="00B42E18">
        <w:t>September,</w:t>
      </w:r>
      <w:proofErr w:type="gramEnd"/>
      <w:r w:rsidRPr="00B42E18">
        <w:t xml:space="preserve"> 2-4 pm, Kalispell.  </w:t>
      </w:r>
      <w:r w:rsidRPr="00B42E18">
        <w:rPr>
          <w:highlight w:val="yellow"/>
        </w:rPr>
        <w:t xml:space="preserve">ADAM, I SUGGEST WE CONSIDER AN ALTERNATE DATE IN KALISPELL: FRIDAY, OCT 5.  That’s when the Kalispell Manufacturing Alliance hosts their Flathead Manufacturing Day.  We could co-locate, present at their meeting, and invite them as DEC guests (assuming Kalispell agrees; Angie can ask the SBDC in </w:t>
      </w:r>
      <w:proofErr w:type="spellStart"/>
      <w:r w:rsidRPr="00B42E18">
        <w:rPr>
          <w:highlight w:val="yellow"/>
        </w:rPr>
        <w:t>Kal</w:t>
      </w:r>
      <w:proofErr w:type="spellEnd"/>
      <w:r w:rsidRPr="00B42E18">
        <w:rPr>
          <w:highlight w:val="yellow"/>
        </w:rPr>
        <w:t>).</w:t>
      </w:r>
    </w:p>
    <w:sectPr w:rsidR="00B42E18" w:rsidRPr="00B42E18" w:rsidSect="009E19A2">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48541" w14:textId="77777777" w:rsidR="000C4FFC" w:rsidRDefault="000C4FFC">
      <w:r>
        <w:separator/>
      </w:r>
    </w:p>
  </w:endnote>
  <w:endnote w:type="continuationSeparator" w:id="0">
    <w:p w14:paraId="798199FB" w14:textId="77777777" w:rsidR="000C4FFC" w:rsidRDefault="000C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BDD39" w14:textId="77777777" w:rsidR="00E63594" w:rsidRDefault="00605551">
    <w:pPr>
      <w:pStyle w:val="Footer"/>
    </w:pPr>
    <w:r>
      <w:t xml:space="preserve">Page </w:t>
    </w:r>
    <w:r>
      <w:fldChar w:fldCharType="begin"/>
    </w:r>
    <w:r>
      <w:instrText xml:space="preserve"> PAGE   \* MERGEFORMAT </w:instrText>
    </w:r>
    <w:r>
      <w:fldChar w:fldCharType="separate"/>
    </w:r>
    <w:r w:rsidR="000C7578">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CED4C" w14:textId="77777777" w:rsidR="000C4FFC" w:rsidRDefault="000C4FFC">
      <w:r>
        <w:separator/>
      </w:r>
    </w:p>
  </w:footnote>
  <w:footnote w:type="continuationSeparator" w:id="0">
    <w:p w14:paraId="5E06BC85" w14:textId="77777777" w:rsidR="000C4FFC" w:rsidRDefault="000C4F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67701"/>
    <w:multiLevelType w:val="hybridMultilevel"/>
    <w:tmpl w:val="48EE5900"/>
    <w:lvl w:ilvl="0" w:tplc="9E42BE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F31E53"/>
    <w:multiLevelType w:val="hybridMultilevel"/>
    <w:tmpl w:val="31FA92C6"/>
    <w:lvl w:ilvl="0" w:tplc="9E42BE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883A84"/>
    <w:multiLevelType w:val="hybridMultilevel"/>
    <w:tmpl w:val="D004D5EA"/>
    <w:lvl w:ilvl="0" w:tplc="9C0884BE">
      <w:numFmt w:val="bullet"/>
      <w:lvlText w:val="·"/>
      <w:lvlJc w:val="left"/>
      <w:pPr>
        <w:ind w:left="780" w:hanging="42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AD7FF5"/>
    <w:multiLevelType w:val="hybridMultilevel"/>
    <w:tmpl w:val="5608FBA0"/>
    <w:lvl w:ilvl="0" w:tplc="9E42BE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441509"/>
    <w:multiLevelType w:val="hybridMultilevel"/>
    <w:tmpl w:val="3FEA4C82"/>
    <w:lvl w:ilvl="0" w:tplc="9E42BE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666B6F"/>
    <w:multiLevelType w:val="hybridMultilevel"/>
    <w:tmpl w:val="8174C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E46433"/>
    <w:multiLevelType w:val="hybridMultilevel"/>
    <w:tmpl w:val="868C21DE"/>
    <w:lvl w:ilvl="0" w:tplc="9E42BE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FA69A7"/>
    <w:multiLevelType w:val="hybridMultilevel"/>
    <w:tmpl w:val="8B606CDA"/>
    <w:lvl w:ilvl="0" w:tplc="C966D0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936C80"/>
    <w:multiLevelType w:val="hybridMultilevel"/>
    <w:tmpl w:val="5AF6EF90"/>
    <w:lvl w:ilvl="0" w:tplc="9E42BE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DA5E8A"/>
    <w:multiLevelType w:val="hybridMultilevel"/>
    <w:tmpl w:val="5512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AA2D87"/>
    <w:multiLevelType w:val="hybridMultilevel"/>
    <w:tmpl w:val="0778EEF0"/>
    <w:lvl w:ilvl="0" w:tplc="CA0EF1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C91F24"/>
    <w:multiLevelType w:val="hybridMultilevel"/>
    <w:tmpl w:val="F04C1FBA"/>
    <w:lvl w:ilvl="0" w:tplc="E1E22C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F8125A6"/>
    <w:multiLevelType w:val="hybridMultilevel"/>
    <w:tmpl w:val="FA0E9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4A0ECF"/>
    <w:multiLevelType w:val="hybridMultilevel"/>
    <w:tmpl w:val="7578FF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66AE7109"/>
    <w:multiLevelType w:val="hybridMultilevel"/>
    <w:tmpl w:val="594C1C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702B30"/>
    <w:multiLevelType w:val="hybridMultilevel"/>
    <w:tmpl w:val="D9B6BB72"/>
    <w:lvl w:ilvl="0" w:tplc="C966D0DC">
      <w:start w:val="1"/>
      <w:numFmt w:val="bullet"/>
      <w:lvlText w:val=""/>
      <w:lvlJc w:val="left"/>
      <w:pPr>
        <w:ind w:left="720" w:hanging="360"/>
      </w:pPr>
      <w:rPr>
        <w:rFonts w:ascii="Symbol" w:hAnsi="Symbol" w:hint="default"/>
        <w:color w:val="auto"/>
      </w:rPr>
    </w:lvl>
    <w:lvl w:ilvl="1" w:tplc="8C645F3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846710"/>
    <w:multiLevelType w:val="hybridMultilevel"/>
    <w:tmpl w:val="4C40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210C23"/>
    <w:multiLevelType w:val="hybridMultilevel"/>
    <w:tmpl w:val="9AEC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15"/>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0"/>
  </w:num>
  <w:num w:numId="17">
    <w:abstractNumId w:val="33"/>
  </w:num>
  <w:num w:numId="18">
    <w:abstractNumId w:val="12"/>
  </w:num>
  <w:num w:numId="19">
    <w:abstractNumId w:val="21"/>
  </w:num>
  <w:num w:numId="20">
    <w:abstractNumId w:val="10"/>
  </w:num>
  <w:num w:numId="21">
    <w:abstractNumId w:val="17"/>
  </w:num>
  <w:num w:numId="22">
    <w:abstractNumId w:val="22"/>
  </w:num>
  <w:num w:numId="23">
    <w:abstractNumId w:val="14"/>
  </w:num>
  <w:num w:numId="24">
    <w:abstractNumId w:val="31"/>
  </w:num>
  <w:num w:numId="25">
    <w:abstractNumId w:val="19"/>
  </w:num>
  <w:num w:numId="26">
    <w:abstractNumId w:val="23"/>
  </w:num>
  <w:num w:numId="27">
    <w:abstractNumId w:val="28"/>
  </w:num>
  <w:num w:numId="28">
    <w:abstractNumId w:val="32"/>
  </w:num>
  <w:num w:numId="29">
    <w:abstractNumId w:val="24"/>
  </w:num>
  <w:num w:numId="30">
    <w:abstractNumId w:val="18"/>
  </w:num>
  <w:num w:numId="31">
    <w:abstractNumId w:val="26"/>
  </w:num>
  <w:num w:numId="32">
    <w:abstractNumId w:val="29"/>
  </w:num>
  <w:num w:numId="33">
    <w:abstractNumId w:val="25"/>
  </w:num>
  <w:num w:numId="34">
    <w:abstractNumId w:val="9"/>
  </w:num>
  <w:num w:numId="35">
    <w:abstractNumId w:val="34"/>
  </w:num>
  <w:num w:numId="36">
    <w:abstractNumId w:val="13"/>
  </w:num>
  <w:num w:numId="37">
    <w:abstractNumId w:val="9"/>
  </w:num>
  <w:num w:numId="38">
    <w:abstractNumId w:val="9"/>
  </w:num>
  <w:num w:numId="39">
    <w:abstractNumId w:val="9"/>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0DF"/>
    <w:rsid w:val="0001613F"/>
    <w:rsid w:val="00017AF8"/>
    <w:rsid w:val="00032653"/>
    <w:rsid w:val="00040542"/>
    <w:rsid w:val="000724A7"/>
    <w:rsid w:val="000A34D1"/>
    <w:rsid w:val="000C4FFC"/>
    <w:rsid w:val="000C7578"/>
    <w:rsid w:val="001006F1"/>
    <w:rsid w:val="00100E79"/>
    <w:rsid w:val="0010588A"/>
    <w:rsid w:val="0013341D"/>
    <w:rsid w:val="00155EF9"/>
    <w:rsid w:val="00160169"/>
    <w:rsid w:val="001A2BF3"/>
    <w:rsid w:val="0021734C"/>
    <w:rsid w:val="00240DB2"/>
    <w:rsid w:val="002A57D9"/>
    <w:rsid w:val="002B68E4"/>
    <w:rsid w:val="002D1AE6"/>
    <w:rsid w:val="00301DE2"/>
    <w:rsid w:val="00307FBF"/>
    <w:rsid w:val="003520E3"/>
    <w:rsid w:val="00377A42"/>
    <w:rsid w:val="003C67AC"/>
    <w:rsid w:val="0040264E"/>
    <w:rsid w:val="004072AA"/>
    <w:rsid w:val="00425B95"/>
    <w:rsid w:val="0044121E"/>
    <w:rsid w:val="00446ED9"/>
    <w:rsid w:val="004758E7"/>
    <w:rsid w:val="004902DD"/>
    <w:rsid w:val="004E2E43"/>
    <w:rsid w:val="00550C45"/>
    <w:rsid w:val="00552328"/>
    <w:rsid w:val="00554362"/>
    <w:rsid w:val="005A2BEB"/>
    <w:rsid w:val="00605551"/>
    <w:rsid w:val="006A37C6"/>
    <w:rsid w:val="006D5C7F"/>
    <w:rsid w:val="0071140E"/>
    <w:rsid w:val="007A727E"/>
    <w:rsid w:val="00822815"/>
    <w:rsid w:val="00833F66"/>
    <w:rsid w:val="00834429"/>
    <w:rsid w:val="00843739"/>
    <w:rsid w:val="00856C98"/>
    <w:rsid w:val="00872B93"/>
    <w:rsid w:val="008B11DA"/>
    <w:rsid w:val="008D3C11"/>
    <w:rsid w:val="0090011A"/>
    <w:rsid w:val="00902ED5"/>
    <w:rsid w:val="00930452"/>
    <w:rsid w:val="009470DF"/>
    <w:rsid w:val="00947C82"/>
    <w:rsid w:val="00961FE4"/>
    <w:rsid w:val="00994A12"/>
    <w:rsid w:val="00995555"/>
    <w:rsid w:val="009B0B4C"/>
    <w:rsid w:val="009B3F54"/>
    <w:rsid w:val="009E0235"/>
    <w:rsid w:val="009E19A2"/>
    <w:rsid w:val="00A62BA1"/>
    <w:rsid w:val="00A71B6B"/>
    <w:rsid w:val="00AE1535"/>
    <w:rsid w:val="00B22A32"/>
    <w:rsid w:val="00B404C6"/>
    <w:rsid w:val="00B42E18"/>
    <w:rsid w:val="00B83828"/>
    <w:rsid w:val="00B84E02"/>
    <w:rsid w:val="00B97B4D"/>
    <w:rsid w:val="00BA055D"/>
    <w:rsid w:val="00BC5DBF"/>
    <w:rsid w:val="00C15C51"/>
    <w:rsid w:val="00C400A4"/>
    <w:rsid w:val="00C57872"/>
    <w:rsid w:val="00C95670"/>
    <w:rsid w:val="00CF2F9C"/>
    <w:rsid w:val="00D447CB"/>
    <w:rsid w:val="00D578BA"/>
    <w:rsid w:val="00D671B5"/>
    <w:rsid w:val="00D8456A"/>
    <w:rsid w:val="00D85EC9"/>
    <w:rsid w:val="00DB7096"/>
    <w:rsid w:val="00E249B7"/>
    <w:rsid w:val="00E63594"/>
    <w:rsid w:val="00E638B0"/>
    <w:rsid w:val="00E8245E"/>
    <w:rsid w:val="00EB7C02"/>
    <w:rsid w:val="00EC08CB"/>
    <w:rsid w:val="00EF3979"/>
    <w:rsid w:val="00F120BA"/>
    <w:rsid w:val="00F20CD3"/>
    <w:rsid w:val="00F60F59"/>
    <w:rsid w:val="00FD7E5B"/>
    <w:rsid w:val="00FE5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021FDB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rsid w:val="004E2E43"/>
    <w:pPr>
      <w:pBdr>
        <w:top w:val="single" w:sz="4" w:space="1" w:color="C00000"/>
        <w:bottom w:val="single" w:sz="4" w:space="1" w:color="C00000"/>
      </w:pBdr>
      <w:spacing w:before="240" w:after="360"/>
      <w:outlineLvl w:val="0"/>
    </w:pPr>
    <w:rPr>
      <w:rFonts w:asciiTheme="majorHAnsi" w:eastAsiaTheme="majorEastAsia" w:hAnsiTheme="majorHAnsi" w:cstheme="majorBidi"/>
      <w:color w:val="344D6C" w:themeColor="accent6" w:themeShade="80"/>
      <w:sz w:val="24"/>
      <w:szCs w:val="24"/>
    </w:rPr>
  </w:style>
  <w:style w:type="paragraph" w:styleId="Heading2">
    <w:name w:val="heading 2"/>
    <w:basedOn w:val="Normal"/>
    <w:next w:val="Normal"/>
    <w:link w:val="Heading2Char"/>
    <w:unhideWhenUsed/>
    <w:qFormat/>
    <w:rsid w:val="004072AA"/>
    <w:pPr>
      <w:spacing w:before="240" w:after="240"/>
      <w:outlineLvl w:val="1"/>
    </w:pPr>
    <w:rPr>
      <w:rFonts w:asciiTheme="majorHAnsi" w:eastAsiaTheme="majorEastAsia" w:hAnsiTheme="majorHAnsi" w:cstheme="majorBidi"/>
      <w:b/>
      <w:color w:val="C00000"/>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paragraph" w:styleId="ListParagraph">
    <w:name w:val="List Paragraph"/>
    <w:basedOn w:val="Normal"/>
    <w:uiPriority w:val="34"/>
    <w:unhideWhenUsed/>
    <w:qFormat/>
    <w:rsid w:val="0090011A"/>
    <w:pPr>
      <w:ind w:left="720"/>
      <w:contextualSpacing/>
    </w:pPr>
  </w:style>
  <w:style w:type="character" w:styleId="Hyperlink">
    <w:name w:val="Hyperlink"/>
    <w:basedOn w:val="DefaultParagraphFont"/>
    <w:uiPriority w:val="99"/>
    <w:unhideWhenUsed/>
    <w:rsid w:val="00554362"/>
    <w:rPr>
      <w:color w:val="8E58B6" w:themeColor="hyperlink"/>
      <w:u w:val="single"/>
    </w:rPr>
  </w:style>
  <w:style w:type="table" w:styleId="PlainTable1">
    <w:name w:val="Plain Table 1"/>
    <w:basedOn w:val="TableNormal"/>
    <w:uiPriority w:val="41"/>
    <w:rsid w:val="00B97B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155EF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EF9"/>
    <w:rPr>
      <w:rFonts w:ascii="Segoe UI" w:hAnsi="Segoe UI" w:cs="Segoe UI"/>
      <w:sz w:val="18"/>
      <w:szCs w:val="18"/>
    </w:rPr>
  </w:style>
  <w:style w:type="character" w:customStyle="1" w:styleId="Heading2Char">
    <w:name w:val="Heading 2 Char"/>
    <w:basedOn w:val="DefaultParagraphFont"/>
    <w:link w:val="Heading2"/>
    <w:rsid w:val="004072AA"/>
    <w:rPr>
      <w:rFonts w:asciiTheme="majorHAnsi" w:eastAsiaTheme="majorEastAsia" w:hAnsiTheme="majorHAnsi" w:cstheme="majorBidi"/>
      <w:b/>
      <w:color w:val="C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78768">
      <w:bodyDiv w:val="1"/>
      <w:marLeft w:val="0"/>
      <w:marRight w:val="0"/>
      <w:marTop w:val="0"/>
      <w:marBottom w:val="0"/>
      <w:divBdr>
        <w:top w:val="none" w:sz="0" w:space="0" w:color="auto"/>
        <w:left w:val="none" w:sz="0" w:space="0" w:color="auto"/>
        <w:bottom w:val="none" w:sz="0" w:space="0" w:color="auto"/>
        <w:right w:val="none" w:sz="0" w:space="0" w:color="auto"/>
      </w:divBdr>
    </w:div>
    <w:div w:id="126169989">
      <w:bodyDiv w:val="1"/>
      <w:marLeft w:val="0"/>
      <w:marRight w:val="0"/>
      <w:marTop w:val="0"/>
      <w:marBottom w:val="0"/>
      <w:divBdr>
        <w:top w:val="none" w:sz="0" w:space="0" w:color="auto"/>
        <w:left w:val="none" w:sz="0" w:space="0" w:color="auto"/>
        <w:bottom w:val="none" w:sz="0" w:space="0" w:color="auto"/>
        <w:right w:val="none" w:sz="0" w:space="0" w:color="auto"/>
      </w:divBdr>
    </w:div>
    <w:div w:id="462818396">
      <w:bodyDiv w:val="1"/>
      <w:marLeft w:val="0"/>
      <w:marRight w:val="0"/>
      <w:marTop w:val="0"/>
      <w:marBottom w:val="0"/>
      <w:divBdr>
        <w:top w:val="none" w:sz="0" w:space="0" w:color="auto"/>
        <w:left w:val="none" w:sz="0" w:space="0" w:color="auto"/>
        <w:bottom w:val="none" w:sz="0" w:space="0" w:color="auto"/>
        <w:right w:val="none" w:sz="0" w:space="0" w:color="auto"/>
      </w:divBdr>
    </w:div>
    <w:div w:id="749277148">
      <w:bodyDiv w:val="1"/>
      <w:marLeft w:val="0"/>
      <w:marRight w:val="0"/>
      <w:marTop w:val="0"/>
      <w:marBottom w:val="0"/>
      <w:divBdr>
        <w:top w:val="none" w:sz="0" w:space="0" w:color="auto"/>
        <w:left w:val="none" w:sz="0" w:space="0" w:color="auto"/>
        <w:bottom w:val="none" w:sz="0" w:space="0" w:color="auto"/>
        <w:right w:val="none" w:sz="0" w:space="0" w:color="auto"/>
      </w:divBdr>
    </w:div>
    <w:div w:id="94780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0354\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98040DCBEE4E4D84B2297349BA1D33"/>
        <w:category>
          <w:name w:val="General"/>
          <w:gallery w:val="placeholder"/>
        </w:category>
        <w:types>
          <w:type w:val="bbPlcHdr"/>
        </w:types>
        <w:behaviors>
          <w:behavior w:val="content"/>
        </w:behaviors>
        <w:guid w:val="{72E8D296-458C-4BAE-9D67-825E5D058983}"/>
      </w:docPartPr>
      <w:docPartBody>
        <w:p w:rsidR="007C00C6" w:rsidRDefault="004E1F5F">
          <w:pPr>
            <w:pStyle w:val="2D98040DCBEE4E4D84B2297349BA1D33"/>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0C6"/>
    <w:rsid w:val="004E1F5F"/>
    <w:rsid w:val="007C0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98040DCBEE4E4D84B2297349BA1D33">
    <w:name w:val="2D98040DCBEE4E4D84B2297349BA1D33"/>
  </w:style>
  <w:style w:type="paragraph" w:customStyle="1" w:styleId="50C9482802094298A2DCD1744BCB870B">
    <w:name w:val="50C9482802094298A2DCD1744BCB870B"/>
  </w:style>
  <w:style w:type="paragraph" w:customStyle="1" w:styleId="A3C52F4545FC45AB8C5163A4BB7BACFB">
    <w:name w:val="A3C52F4545FC45AB8C5163A4BB7BACFB"/>
  </w:style>
  <w:style w:type="paragraph" w:customStyle="1" w:styleId="11A98F1EAAF845F1A0ADFF9FC95EE77F">
    <w:name w:val="11A98F1EAAF845F1A0ADFF9FC95EE77F"/>
  </w:style>
  <w:style w:type="paragraph" w:customStyle="1" w:styleId="F749BF650D134EE1875405A869AB70AB">
    <w:name w:val="F749BF650D134EE1875405A869AB70AB"/>
  </w:style>
  <w:style w:type="paragraph" w:customStyle="1" w:styleId="9D8084561D5247CBBB38EC1D290FDEC3">
    <w:name w:val="9D8084561D5247CBBB38EC1D290FDEC3"/>
  </w:style>
  <w:style w:type="paragraph" w:customStyle="1" w:styleId="DBB37A105DB6401891712B9CED2430FB">
    <w:name w:val="DBB37A105DB6401891712B9CED2430FB"/>
  </w:style>
  <w:style w:type="paragraph" w:customStyle="1" w:styleId="C868E56750D84A768BB20F28D65AC2EB">
    <w:name w:val="C868E56750D84A768BB20F28D65AC2EB"/>
  </w:style>
  <w:style w:type="paragraph" w:customStyle="1" w:styleId="76E93D4DA19A42009C42519B91BB53A7">
    <w:name w:val="76E93D4DA19A42009C42519B91BB53A7"/>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2830F79F2FAF426F8A403E3D8F141531">
    <w:name w:val="2830F79F2FAF426F8A403E3D8F141531"/>
  </w:style>
  <w:style w:type="paragraph" w:customStyle="1" w:styleId="C4644EBAC8934CF599AEDDE4CAE72D7A">
    <w:name w:val="C4644EBAC8934CF599AEDDE4CAE72D7A"/>
  </w:style>
  <w:style w:type="paragraph" w:customStyle="1" w:styleId="142615CCFD8848EBB27F3968F1605F5C">
    <w:name w:val="142615CCFD8848EBB27F3968F1605F5C"/>
  </w:style>
  <w:style w:type="paragraph" w:customStyle="1" w:styleId="2AF84F369DA44B5AB50B7221868913DE">
    <w:name w:val="2AF84F369DA44B5AB50B7221868913DE"/>
  </w:style>
  <w:style w:type="paragraph" w:customStyle="1" w:styleId="6FBC61286553411C93A6C6079C371FD9">
    <w:name w:val="6FBC61286553411C93A6C6079C371FD9"/>
  </w:style>
  <w:style w:type="paragraph" w:customStyle="1" w:styleId="D703D852A30D4E32AC7BD6B29653247D">
    <w:name w:val="D703D852A30D4E32AC7BD6B2965324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4</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District Export Council 5-21-18 minutes</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Export Council 5-21-18 minutes</dc:title>
  <dc:subject>District Export Council 5-21-18 minutes</dc:subject>
  <dc:creator/>
  <cp:keywords>DEC minutes</cp:keywords>
  <cp:lastModifiedBy/>
  <cp:revision>1</cp:revision>
  <dcterms:created xsi:type="dcterms:W3CDTF">2018-05-30T17:56:00Z</dcterms:created>
  <dcterms:modified xsi:type="dcterms:W3CDTF">2019-05-22T16:32:00Z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