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94" w:rsidRPr="009470DF" w:rsidRDefault="00605551">
      <w:pPr>
        <w:pStyle w:val="Title"/>
        <w:rPr>
          <w:color w:val="344D6C" w:themeColor="accent6" w:themeShade="80"/>
          <w14:textFill>
            <w14:solidFill>
              <w14:schemeClr w14:val="accent6">
                <w14:lumMod w14:val="50000"/>
              </w14:schemeClr>
            </w14:solidFill>
          </w14:textFill>
        </w:rPr>
      </w:pPr>
      <w:r w:rsidRPr="009470DF">
        <w:rPr>
          <w:color w:val="344D6C" w:themeColor="accent6" w:themeShade="80"/>
          <w14:textFill>
            <w14:solidFill>
              <w14:schemeClr w14:val="accent6">
                <w14:lumMod w14:val="50000"/>
              </w14:schemeClr>
            </w14:solidFill>
          </w14:textFill>
        </w:rPr>
        <w:t>MINUTES</w:t>
      </w:r>
    </w:p>
    <w:p w:rsidR="00E63594" w:rsidRPr="009470DF" w:rsidRDefault="00552328">
      <w:pPr>
        <w:pStyle w:val="Subtitle"/>
        <w:rPr>
          <w:color w:val="C00000"/>
        </w:rPr>
      </w:pPr>
      <w:sdt>
        <w:sdtPr>
          <w:rPr>
            <w:color w:val="C00000"/>
          </w:rPr>
          <w:id w:val="841976995"/>
          <w:placeholder>
            <w:docPart w:val="2D98040DCBEE4E4D84B2297349BA1D33"/>
          </w:placeholder>
          <w15:appearance w15:val="hidden"/>
        </w:sdtPr>
        <w:sdtEndPr/>
        <w:sdtContent>
          <w:r w:rsidR="009470DF" w:rsidRPr="009470DF">
            <w:rPr>
              <w:color w:val="C00000"/>
            </w:rPr>
            <w:t>Montana District Export Council</w:t>
          </w:r>
        </w:sdtContent>
      </w:sdt>
    </w:p>
    <w:p w:rsidR="00E63594" w:rsidRPr="009470DF" w:rsidRDefault="001006F1">
      <w:pPr>
        <w:pBdr>
          <w:top w:val="single" w:sz="4" w:space="1" w:color="444D26" w:themeColor="text2"/>
        </w:pBdr>
        <w:jc w:val="right"/>
        <w:rPr>
          <w:color w:val="C00000"/>
        </w:rPr>
      </w:pPr>
      <w:r>
        <w:rPr>
          <w:rStyle w:val="IntenseEmphasis"/>
          <w:color w:val="C00000"/>
        </w:rPr>
        <w:t>April 5</w:t>
      </w:r>
      <w:r w:rsidR="009E19A2">
        <w:rPr>
          <w:rStyle w:val="IntenseEmphasis"/>
          <w:color w:val="C00000"/>
        </w:rPr>
        <w:t>, 2018</w:t>
      </w:r>
      <w:r w:rsidR="009470DF">
        <w:rPr>
          <w:rStyle w:val="IntenseEmphasis"/>
          <w:color w:val="C00000"/>
        </w:rPr>
        <w:t xml:space="preserve"> | </w:t>
      </w:r>
      <w:r>
        <w:rPr>
          <w:rStyle w:val="IntenseEmphasis"/>
          <w:color w:val="C00000"/>
        </w:rPr>
        <w:t>Missoula</w:t>
      </w:r>
      <w:r w:rsidR="009470DF">
        <w:rPr>
          <w:rStyle w:val="IntenseEmphasis"/>
          <w:color w:val="C00000"/>
        </w:rPr>
        <w:t>, MT</w:t>
      </w:r>
    </w:p>
    <w:p w:rsidR="00E63594" w:rsidRPr="002D1AE6" w:rsidRDefault="00605551" w:rsidP="002D1AE6">
      <w:pPr>
        <w:pStyle w:val="Heading1"/>
      </w:pPr>
      <w:r w:rsidRPr="002D1AE6">
        <w:t>In Attendance</w:t>
      </w:r>
    </w:p>
    <w:p w:rsidR="009E19A2" w:rsidRDefault="009E19A2">
      <w:pPr>
        <w:sectPr w:rsidR="009E19A2">
          <w:footerReference w:type="default" r:id="rId8"/>
          <w:pgSz w:w="12240" w:h="15840"/>
          <w:pgMar w:top="720" w:right="720" w:bottom="720" w:left="720" w:header="720" w:footer="720" w:gutter="0"/>
          <w:cols w:space="720"/>
          <w:titlePg/>
          <w:docGrid w:linePitch="360"/>
        </w:sectPr>
      </w:pPr>
    </w:p>
    <w:p w:rsidR="001006F1" w:rsidRDefault="001006F1" w:rsidP="001006F1">
      <w:r>
        <w:t xml:space="preserve">Adam – </w:t>
      </w:r>
      <w:proofErr w:type="spellStart"/>
      <w:r>
        <w:t>Resonon</w:t>
      </w:r>
      <w:proofErr w:type="spellEnd"/>
      <w:r>
        <w:t>, DEC Chair</w:t>
      </w:r>
    </w:p>
    <w:p w:rsidR="001006F1" w:rsidRDefault="001006F1" w:rsidP="001006F1">
      <w:r>
        <w:t xml:space="preserve">B.D. – </w:t>
      </w:r>
      <w:proofErr w:type="spellStart"/>
      <w:r>
        <w:t>Satic</w:t>
      </w:r>
      <w:proofErr w:type="spellEnd"/>
      <w:r>
        <w:t>, DEC Vice Chair</w:t>
      </w:r>
    </w:p>
    <w:p w:rsidR="00F60F59" w:rsidRPr="00902ED5" w:rsidRDefault="00F60F59" w:rsidP="00F60F59">
      <w:r w:rsidRPr="00902ED5">
        <w:t xml:space="preserve">Carey – </w:t>
      </w:r>
      <w:r>
        <w:t>US Commercial Service – Montana, DEC Executive Secretary</w:t>
      </w:r>
    </w:p>
    <w:p w:rsidR="009E19A2" w:rsidRDefault="009E19A2">
      <w:r>
        <w:t>Joel – Ascent Vision</w:t>
      </w:r>
    </w:p>
    <w:p w:rsidR="009E19A2" w:rsidRDefault="009E19A2">
      <w:r>
        <w:t xml:space="preserve">Canon – </w:t>
      </w:r>
      <w:proofErr w:type="spellStart"/>
      <w:r>
        <w:t>ExportMontana</w:t>
      </w:r>
      <w:proofErr w:type="spellEnd"/>
      <w:r>
        <w:t>, Montana Department of Commerce</w:t>
      </w:r>
    </w:p>
    <w:p w:rsidR="009E19A2" w:rsidRDefault="009E19A2">
      <w:r>
        <w:t>Brigitta – Montana World Trade Center</w:t>
      </w:r>
    </w:p>
    <w:p w:rsidR="009E19A2" w:rsidRDefault="009E19A2">
      <w:r>
        <w:t>Bill – MacBride Law</w:t>
      </w:r>
    </w:p>
    <w:p w:rsidR="009E19A2" w:rsidRDefault="009E19A2">
      <w:r>
        <w:t xml:space="preserve">Dianna – </w:t>
      </w:r>
      <w:proofErr w:type="spellStart"/>
      <w:r>
        <w:t>TowHaul</w:t>
      </w:r>
      <w:proofErr w:type="spellEnd"/>
    </w:p>
    <w:p w:rsidR="009E19A2" w:rsidRDefault="009E19A2">
      <w:r>
        <w:t xml:space="preserve">Mara – </w:t>
      </w:r>
      <w:proofErr w:type="spellStart"/>
      <w:r>
        <w:t>Enell</w:t>
      </w:r>
      <w:proofErr w:type="spellEnd"/>
    </w:p>
    <w:p w:rsidR="001006F1" w:rsidRDefault="001006F1" w:rsidP="001006F1">
      <w:r>
        <w:t xml:space="preserve">Angie – </w:t>
      </w:r>
      <w:proofErr w:type="spellStart"/>
      <w:r>
        <w:t>ExportMontana</w:t>
      </w:r>
      <w:proofErr w:type="spellEnd"/>
      <w:r>
        <w:t>, Montana Department of Commerce</w:t>
      </w:r>
    </w:p>
    <w:p w:rsidR="001006F1" w:rsidRDefault="001006F1">
      <w:r>
        <w:t>Dave – US Commercial Service – Pacific NW Region</w:t>
      </w:r>
    </w:p>
    <w:p w:rsidR="009E19A2" w:rsidRDefault="009E19A2">
      <w:r>
        <w:t xml:space="preserve">Richard – The Law Office of </w:t>
      </w:r>
      <w:proofErr w:type="spellStart"/>
      <w:r>
        <w:t>Richarch</w:t>
      </w:r>
      <w:proofErr w:type="spellEnd"/>
      <w:r>
        <w:t xml:space="preserve"> </w:t>
      </w:r>
      <w:proofErr w:type="spellStart"/>
      <w:r>
        <w:t>Hegger</w:t>
      </w:r>
      <w:proofErr w:type="spellEnd"/>
    </w:p>
    <w:p w:rsidR="001006F1" w:rsidRDefault="001006F1">
      <w:r>
        <w:t>Wayne – Small Business Administration – Montana</w:t>
      </w:r>
    </w:p>
    <w:p w:rsidR="009E19A2" w:rsidRDefault="009E19A2">
      <w:r>
        <w:t xml:space="preserve">Barry – Wood’s </w:t>
      </w:r>
      <w:proofErr w:type="spellStart"/>
      <w:r>
        <w:t>Powr</w:t>
      </w:r>
      <w:proofErr w:type="spellEnd"/>
      <w:r>
        <w:t xml:space="preserve"> Grip</w:t>
      </w:r>
    </w:p>
    <w:p w:rsidR="009E19A2" w:rsidRDefault="009E19A2">
      <w:r>
        <w:t>Wendy – Diversified Plastics</w:t>
      </w:r>
    </w:p>
    <w:p w:rsidR="009E19A2" w:rsidRDefault="009E19A2">
      <w:r>
        <w:t xml:space="preserve">Tibor – </w:t>
      </w:r>
      <w:proofErr w:type="spellStart"/>
      <w:r>
        <w:t>Resodyn</w:t>
      </w:r>
      <w:proofErr w:type="spellEnd"/>
    </w:p>
    <w:p w:rsidR="009E19A2" w:rsidRDefault="009E19A2">
      <w:pPr>
        <w:sectPr w:rsidR="009E19A2" w:rsidSect="009E19A2">
          <w:type w:val="continuous"/>
          <w:pgSz w:w="12240" w:h="15840"/>
          <w:pgMar w:top="720" w:right="720" w:bottom="720" w:left="720" w:header="720" w:footer="720" w:gutter="0"/>
          <w:cols w:num="2" w:space="720"/>
          <w:titlePg/>
          <w:docGrid w:linePitch="360"/>
        </w:sectPr>
      </w:pPr>
      <w:r>
        <w:t xml:space="preserve">Katie </w:t>
      </w:r>
      <w:r w:rsidR="001006F1">
        <w:t>–</w:t>
      </w:r>
      <w:r>
        <w:t xml:space="preserve"> Spika</w:t>
      </w:r>
      <w:r w:rsidR="001006F1">
        <w:t xml:space="preserve"> </w:t>
      </w:r>
    </w:p>
    <w:p w:rsidR="009E19A2" w:rsidRPr="00902ED5" w:rsidRDefault="009E19A2"/>
    <w:p w:rsidR="00E63594" w:rsidRDefault="001006F1" w:rsidP="002D1AE6">
      <w:pPr>
        <w:pStyle w:val="Heading1"/>
      </w:pPr>
      <w:r>
        <w:t>Montana Exports Overview</w:t>
      </w:r>
    </w:p>
    <w:p w:rsidR="00E63594" w:rsidRDefault="001006F1">
      <w:r>
        <w:t xml:space="preserve">Carey Hester, US Commercial Service – Montana, provided an overview of Montana Exports.  </w:t>
      </w:r>
    </w:p>
    <w:p w:rsidR="001006F1" w:rsidRDefault="001006F1" w:rsidP="00FD7E5B">
      <w:pPr>
        <w:pStyle w:val="ListBullet"/>
      </w:pPr>
      <w:r>
        <w:t>Montana manufactured exports reached an all-time high in 2017: $1.7 billion (from $400 million in 1998).  These numbers are not necessarily reflective of Montana’s complete export picture, in that bulk ag commodities exports (e.g. wheat), tourism exports, service exports, and education exports are not included.</w:t>
      </w:r>
    </w:p>
    <w:p w:rsidR="001006F1" w:rsidRPr="00FD7E5B" w:rsidRDefault="001006F1" w:rsidP="00FD7E5B">
      <w:pPr>
        <w:pStyle w:val="ListBullet"/>
        <w:rPr>
          <w:highlight w:val="yellow"/>
        </w:rPr>
      </w:pPr>
      <w:r w:rsidRPr="00FD7E5B">
        <w:rPr>
          <w:highlight w:val="yellow"/>
        </w:rPr>
        <w:t>(Adam, does the DEC want to publish a press release announcing this and the new members?  I have a draft ready if so.)</w:t>
      </w:r>
    </w:p>
    <w:p w:rsidR="001006F1" w:rsidRDefault="001006F1" w:rsidP="00FD7E5B">
      <w:pPr>
        <w:pStyle w:val="ListBullet"/>
      </w:pPr>
      <w:r>
        <w:t>Montana’s top exports markets in 2017 were Canada, Korea, China, Belgium, Taiwan, Mexico, Japan, Colombia.</w:t>
      </w:r>
    </w:p>
    <w:p w:rsidR="006A37C6" w:rsidRDefault="004072AA" w:rsidP="00C400A4">
      <w:pPr>
        <w:pStyle w:val="Heading1"/>
      </w:pPr>
      <w:r>
        <w:t>Purpose of the DEC</w:t>
      </w:r>
    </w:p>
    <w:p w:rsidR="006A37C6" w:rsidRDefault="006A37C6" w:rsidP="004072AA">
      <w:pPr>
        <w:pStyle w:val="ListBullet"/>
      </w:pPr>
      <w:r>
        <w:t xml:space="preserve">Advocate on trade issues on behalf of the state’s exporters </w:t>
      </w:r>
    </w:p>
    <w:p w:rsidR="006A37C6" w:rsidRDefault="006A37C6" w:rsidP="004072AA">
      <w:pPr>
        <w:pStyle w:val="ListBullet"/>
      </w:pPr>
      <w:r>
        <w:t>Support the state’s exporters</w:t>
      </w:r>
    </w:p>
    <w:p w:rsidR="006A37C6" w:rsidRDefault="006A37C6" w:rsidP="004072AA">
      <w:pPr>
        <w:pStyle w:val="ListBullet"/>
      </w:pPr>
      <w:r>
        <w:t>Support National DEC initiatives</w:t>
      </w:r>
    </w:p>
    <w:p w:rsidR="001006F1" w:rsidRDefault="001006F1" w:rsidP="004072AA">
      <w:pPr>
        <w:pStyle w:val="ListBullet"/>
      </w:pPr>
      <w:r>
        <w:t>Support export education</w:t>
      </w:r>
    </w:p>
    <w:p w:rsidR="00822815" w:rsidRDefault="00F20CD3" w:rsidP="00F20CD3">
      <w:pPr>
        <w:pStyle w:val="Heading2"/>
      </w:pPr>
      <w:r>
        <w:t>Export Education</w:t>
      </w:r>
    </w:p>
    <w:p w:rsidR="00F20CD3" w:rsidRDefault="00F20CD3" w:rsidP="00F20CD3">
      <w:r>
        <w:t xml:space="preserve">The Montana DEC will provide a collective Montana exporter voice to advise on export education needs and disseminate education opportunities to </w:t>
      </w:r>
      <w:r w:rsidR="00BC5DBF">
        <w:t>its</w:t>
      </w:r>
      <w:r>
        <w:t xml:space="preserve"> collective networks.</w:t>
      </w:r>
    </w:p>
    <w:p w:rsidR="00EC08CB" w:rsidRDefault="00EC08CB" w:rsidP="00EC08CB">
      <w:pPr>
        <w:pStyle w:val="Heading2"/>
      </w:pPr>
      <w:r>
        <w:t>Export Policy Advocacy</w:t>
      </w:r>
    </w:p>
    <w:p w:rsidR="00EC08CB" w:rsidRDefault="00EC08CB" w:rsidP="00F20CD3">
      <w:r>
        <w:lastRenderedPageBreak/>
        <w:t>The Montana DEC will provide a collective Montana exporter voice to advise policy makers on export policies under consideration and provide suggestions for future legislation.</w:t>
      </w:r>
    </w:p>
    <w:p w:rsidR="004072AA" w:rsidRPr="0044121E" w:rsidRDefault="004072AA" w:rsidP="00F20CD3">
      <w:pPr>
        <w:rPr>
          <w:b/>
        </w:rPr>
      </w:pPr>
      <w:r w:rsidRPr="0044121E">
        <w:rPr>
          <w:b/>
        </w:rPr>
        <w:t xml:space="preserve">DEC Export Policy Advocacy Plan: </w:t>
      </w:r>
    </w:p>
    <w:p w:rsidR="004072AA" w:rsidRDefault="004072AA" w:rsidP="004072AA">
      <w:pPr>
        <w:pStyle w:val="ListBullet"/>
      </w:pPr>
      <w:r>
        <w:t>Advise on export policies</w:t>
      </w:r>
    </w:p>
    <w:p w:rsidR="0044121E" w:rsidRDefault="0044121E" w:rsidP="0044121E">
      <w:pPr>
        <w:pStyle w:val="ListParagraph"/>
        <w:numPr>
          <w:ilvl w:val="0"/>
          <w:numId w:val="32"/>
        </w:numPr>
      </w:pPr>
      <w:r>
        <w:t>DEC members wil</w:t>
      </w:r>
      <w:r w:rsidR="0071140E">
        <w:t>l</w:t>
      </w:r>
      <w:r>
        <w:t xml:space="preserve"> bring policies to the meetings for consideration</w:t>
      </w:r>
      <w:r w:rsidR="00D85EC9">
        <w:t>.</w:t>
      </w:r>
    </w:p>
    <w:p w:rsidR="0044121E" w:rsidRDefault="0044121E" w:rsidP="0044121E">
      <w:pPr>
        <w:pStyle w:val="ListParagraph"/>
        <w:numPr>
          <w:ilvl w:val="0"/>
          <w:numId w:val="32"/>
        </w:numPr>
      </w:pPr>
      <w:r>
        <w:t>DEC decides whether or not to address the issue</w:t>
      </w:r>
      <w:r w:rsidR="00D85EC9">
        <w:t>.</w:t>
      </w:r>
    </w:p>
    <w:p w:rsidR="0044121E" w:rsidRDefault="0044121E" w:rsidP="0044121E">
      <w:pPr>
        <w:pStyle w:val="ListParagraph"/>
        <w:numPr>
          <w:ilvl w:val="0"/>
          <w:numId w:val="32"/>
        </w:numPr>
      </w:pPr>
      <w:r>
        <w:t>To address the issue, DEC will form a subcommittee</w:t>
      </w:r>
      <w:r w:rsidR="00D85EC9">
        <w:t>.</w:t>
      </w:r>
    </w:p>
    <w:p w:rsidR="0044121E" w:rsidRDefault="0044121E" w:rsidP="0044121E">
      <w:pPr>
        <w:pStyle w:val="ListParagraph"/>
        <w:numPr>
          <w:ilvl w:val="0"/>
          <w:numId w:val="32"/>
        </w:numPr>
      </w:pPr>
      <w:r>
        <w:t>Subcommittee will review the issue a</w:t>
      </w:r>
      <w:r w:rsidR="0071140E">
        <w:t>nd report out to DEC</w:t>
      </w:r>
      <w:r w:rsidR="00D85EC9">
        <w:t>.</w:t>
      </w:r>
    </w:p>
    <w:p w:rsidR="0071140E" w:rsidRDefault="0071140E" w:rsidP="0044121E">
      <w:pPr>
        <w:pStyle w:val="ListParagraph"/>
        <w:numPr>
          <w:ilvl w:val="0"/>
          <w:numId w:val="32"/>
        </w:numPr>
      </w:pPr>
      <w:r>
        <w:t>DEC will decide whether or not to take action</w:t>
      </w:r>
      <w:r w:rsidR="00D85EC9">
        <w:t>.</w:t>
      </w:r>
    </w:p>
    <w:p w:rsidR="004072AA" w:rsidRDefault="004072AA" w:rsidP="004072AA">
      <w:pPr>
        <w:pStyle w:val="ListBullet"/>
      </w:pPr>
      <w:r>
        <w:t xml:space="preserve">Send a representative to the </w:t>
      </w:r>
      <w:hyperlink r:id="rId9" w:history="1">
        <w:r w:rsidRPr="00C400A4">
          <w:rPr>
            <w:rStyle w:val="Hyperlink"/>
          </w:rPr>
          <w:t>National DEC meeting</w:t>
        </w:r>
      </w:hyperlink>
    </w:p>
    <w:p w:rsidR="00C400A4" w:rsidRDefault="00C400A4" w:rsidP="00C400A4">
      <w:pPr>
        <w:pStyle w:val="ListParagraph"/>
        <w:numPr>
          <w:ilvl w:val="0"/>
          <w:numId w:val="33"/>
        </w:numPr>
      </w:pPr>
      <w:r>
        <w:t>May 21-22, 2018: Washington DC</w:t>
      </w:r>
    </w:p>
    <w:p w:rsidR="004072AA" w:rsidRDefault="004072AA" w:rsidP="004072AA">
      <w:pPr>
        <w:pStyle w:val="ListBullet"/>
      </w:pPr>
      <w:r>
        <w:t>Encourage individuals to speak out via op-ed pieces and policy position papers</w:t>
      </w:r>
    </w:p>
    <w:p w:rsidR="00301DE2" w:rsidRDefault="00301DE2" w:rsidP="004072AA">
      <w:pPr>
        <w:pStyle w:val="ListBullet"/>
      </w:pPr>
      <w:r>
        <w:t>Host an annual DEC round table with the congressional district directors</w:t>
      </w:r>
    </w:p>
    <w:p w:rsidR="00F20CD3" w:rsidRDefault="00F20CD3" w:rsidP="00F20CD3">
      <w:pPr>
        <w:pStyle w:val="Heading2"/>
      </w:pPr>
      <w:r>
        <w:t>Action Items</w:t>
      </w:r>
    </w:p>
    <w:p w:rsidR="00F20CD3" w:rsidRDefault="00F20CD3" w:rsidP="00F20CD3">
      <w:pPr>
        <w:pStyle w:val="ListParagraph"/>
        <w:numPr>
          <w:ilvl w:val="0"/>
          <w:numId w:val="29"/>
        </w:numPr>
      </w:pPr>
      <w:r>
        <w:t>Prior to the next meeting, Adam will email survey DEC members to determine their obstacles to exporting and suggestions for export education topics.</w:t>
      </w:r>
    </w:p>
    <w:p w:rsidR="004072AA" w:rsidRPr="00F20CD3" w:rsidRDefault="004072AA" w:rsidP="00F20CD3">
      <w:pPr>
        <w:pStyle w:val="ListParagraph"/>
        <w:numPr>
          <w:ilvl w:val="0"/>
          <w:numId w:val="29"/>
        </w:numPr>
      </w:pPr>
      <w:r>
        <w:t>Adam will send a policy position paper template to the DEC members.</w:t>
      </w:r>
    </w:p>
    <w:p w:rsidR="00E249B7" w:rsidRDefault="004072AA" w:rsidP="00155EF9">
      <w:pPr>
        <w:pStyle w:val="Heading1"/>
      </w:pPr>
      <w:r>
        <w:t>Policy Committees</w:t>
      </w:r>
    </w:p>
    <w:p w:rsidR="003520E3" w:rsidRPr="003520E3" w:rsidRDefault="00100E79" w:rsidP="003520E3">
      <w:r>
        <w:t>Subcommittees will report findings during next meeting.</w:t>
      </w:r>
    </w:p>
    <w:p w:rsidR="004072AA" w:rsidRPr="00FD7E5B" w:rsidRDefault="004072AA" w:rsidP="00FD7E5B">
      <w:pPr>
        <w:pStyle w:val="Heading2"/>
      </w:pPr>
      <w:r w:rsidRPr="00FD7E5B">
        <w:t>Policies currently under consideration</w:t>
      </w:r>
    </w:p>
    <w:p w:rsidR="004072AA" w:rsidRDefault="004072AA" w:rsidP="004072AA">
      <w:pPr>
        <w:pStyle w:val="ListBullet"/>
      </w:pPr>
      <w:r w:rsidRPr="003520E3">
        <w:rPr>
          <w:b/>
        </w:rPr>
        <w:t>Korea FTA &amp; NAFTA</w:t>
      </w:r>
      <w:r>
        <w:t>: Subcommittee will include Bill, Richard, Tibor, Wendy, Mara, Diana, Barry</w:t>
      </w:r>
    </w:p>
    <w:p w:rsidR="003520E3" w:rsidRDefault="003520E3" w:rsidP="004072AA">
      <w:pPr>
        <w:pStyle w:val="ListBullet"/>
      </w:pPr>
      <w:r>
        <w:rPr>
          <w:b/>
        </w:rPr>
        <w:t xml:space="preserve">Solar panel import tax: </w:t>
      </w:r>
      <w:r>
        <w:t>Subcommittee will include Adam and BD</w:t>
      </w:r>
    </w:p>
    <w:p w:rsidR="00100E79" w:rsidRDefault="00100E79" w:rsidP="004072AA">
      <w:pPr>
        <w:pStyle w:val="ListBullet"/>
      </w:pPr>
      <w:proofErr w:type="spellStart"/>
      <w:r>
        <w:rPr>
          <w:b/>
        </w:rPr>
        <w:t>ExIm</w:t>
      </w:r>
      <w:proofErr w:type="spellEnd"/>
      <w:r>
        <w:rPr>
          <w:b/>
        </w:rPr>
        <w:t xml:space="preserve"> reauthorization:</w:t>
      </w:r>
      <w:r>
        <w:t xml:space="preserve"> Subcommittee will include Wayne and Brigitta</w:t>
      </w:r>
    </w:p>
    <w:p w:rsidR="00100E79" w:rsidRDefault="00100E79" w:rsidP="004072AA">
      <w:pPr>
        <w:pStyle w:val="ListBullet"/>
      </w:pPr>
      <w:r>
        <w:rPr>
          <w:b/>
        </w:rPr>
        <w:t>IC-</w:t>
      </w:r>
      <w:r w:rsidRPr="00100E79">
        <w:rPr>
          <w:b/>
        </w:rPr>
        <w:t>DISC reauthorization</w:t>
      </w:r>
      <w:r>
        <w:t>: This has been accomplished</w:t>
      </w:r>
    </w:p>
    <w:p w:rsidR="00100E79" w:rsidRDefault="00100E79" w:rsidP="004072AA">
      <w:pPr>
        <w:pStyle w:val="ListBullet"/>
      </w:pPr>
      <w:r>
        <w:rPr>
          <w:b/>
        </w:rPr>
        <w:t>Miscellaneous tariff bill</w:t>
      </w:r>
      <w:r w:rsidRPr="00100E79">
        <w:t>:</w:t>
      </w:r>
      <w:r>
        <w:t xml:space="preserve"> Tabled until next meeting</w:t>
      </w:r>
    </w:p>
    <w:p w:rsidR="00100E79" w:rsidRDefault="00100E79" w:rsidP="00100E79">
      <w:pPr>
        <w:pStyle w:val="ListBullet"/>
      </w:pPr>
      <w:r w:rsidRPr="00100E79">
        <w:rPr>
          <w:b/>
        </w:rPr>
        <w:t>ITA funding</w:t>
      </w:r>
      <w:r>
        <w:t>: Tabled until next meeting</w:t>
      </w:r>
    </w:p>
    <w:p w:rsidR="00100E79" w:rsidRDefault="00100E79" w:rsidP="00100E79">
      <w:pPr>
        <w:pStyle w:val="ListBullet"/>
      </w:pPr>
      <w:r w:rsidRPr="00100E79">
        <w:rPr>
          <w:b/>
        </w:rPr>
        <w:t>Steel &amp; aluminum tariffs</w:t>
      </w:r>
      <w:r>
        <w:t>: Tabled until next meeting</w:t>
      </w:r>
    </w:p>
    <w:p w:rsidR="00100E79" w:rsidRPr="00FD7E5B" w:rsidRDefault="00100E79" w:rsidP="00FD7E5B">
      <w:pPr>
        <w:pStyle w:val="Heading2"/>
      </w:pPr>
      <w:r w:rsidRPr="00FD7E5B">
        <w:t>Future legislation</w:t>
      </w:r>
    </w:p>
    <w:p w:rsidR="00100E79" w:rsidRDefault="00100E79" w:rsidP="00100E79">
      <w:pPr>
        <w:pStyle w:val="ListBullet"/>
      </w:pPr>
      <w:r>
        <w:t>No legislation suggestions currently being considered</w:t>
      </w:r>
    </w:p>
    <w:p w:rsidR="00100E79" w:rsidRDefault="00100E79" w:rsidP="00100E79">
      <w:pPr>
        <w:pStyle w:val="Heading2"/>
      </w:pPr>
      <w:r>
        <w:t>Action Items</w:t>
      </w:r>
    </w:p>
    <w:p w:rsidR="00100E79" w:rsidRPr="00100E79" w:rsidRDefault="00100E79" w:rsidP="00100E79">
      <w:pPr>
        <w:pStyle w:val="ListParagraph"/>
        <w:numPr>
          <w:ilvl w:val="0"/>
          <w:numId w:val="29"/>
        </w:numPr>
      </w:pPr>
      <w:r>
        <w:t>Canon will coordinate with Brigitta on future IC-DISC training.</w:t>
      </w:r>
    </w:p>
    <w:p w:rsidR="00FD7E5B" w:rsidRDefault="00FD7E5B" w:rsidP="00155EF9">
      <w:pPr>
        <w:pStyle w:val="Heading1"/>
      </w:pPr>
      <w:r>
        <w:t>Exporter of the Year 2017</w:t>
      </w:r>
    </w:p>
    <w:p w:rsidR="00FD7E5B" w:rsidRDefault="00FD7E5B" w:rsidP="00FD7E5B">
      <w:r>
        <w:t xml:space="preserve">DEC members reviewed the Exporter of the Year applications and chose the winner: </w:t>
      </w:r>
      <w:r w:rsidRPr="00FD7E5B">
        <w:rPr>
          <w:b/>
        </w:rPr>
        <w:t xml:space="preserve">SRS </w:t>
      </w:r>
      <w:proofErr w:type="spellStart"/>
      <w:r w:rsidRPr="00FD7E5B">
        <w:rPr>
          <w:b/>
        </w:rPr>
        <w:t>Crisafulli</w:t>
      </w:r>
      <w:proofErr w:type="spellEnd"/>
      <w:r>
        <w:t xml:space="preserve">.  </w:t>
      </w:r>
    </w:p>
    <w:p w:rsidR="00FD7E5B" w:rsidRDefault="00FD7E5B" w:rsidP="00FD7E5B">
      <w:r>
        <w:t>This award is in recognition of a Montana company for their contribution to the state’s economic growth and prosperity through the sale of Montana products or services abroad.</w:t>
      </w:r>
    </w:p>
    <w:p w:rsidR="00FD7E5B" w:rsidRDefault="00FD7E5B" w:rsidP="00FD7E5B">
      <w:r>
        <w:lastRenderedPageBreak/>
        <w:t>The award will be presented during the Manufacturing &amp; International Trade Day event, May 22, in Missoula.</w:t>
      </w:r>
    </w:p>
    <w:p w:rsidR="00FD7E5B" w:rsidRDefault="00FD7E5B" w:rsidP="000724A7">
      <w:pPr>
        <w:pStyle w:val="Heading2"/>
      </w:pPr>
      <w:r>
        <w:t>Action Items</w:t>
      </w:r>
    </w:p>
    <w:p w:rsidR="00FD7E5B" w:rsidRDefault="00FD7E5B" w:rsidP="00FD7E5B">
      <w:pPr>
        <w:pStyle w:val="ListParagraph"/>
        <w:numPr>
          <w:ilvl w:val="0"/>
          <w:numId w:val="29"/>
        </w:numPr>
      </w:pPr>
      <w:r>
        <w:t xml:space="preserve">Angie will notify SRS </w:t>
      </w:r>
      <w:proofErr w:type="spellStart"/>
      <w:r>
        <w:t>Crisafulli</w:t>
      </w:r>
      <w:proofErr w:type="spellEnd"/>
    </w:p>
    <w:p w:rsidR="00FD7E5B" w:rsidRDefault="00FD7E5B" w:rsidP="00FD7E5B">
      <w:pPr>
        <w:pStyle w:val="ListParagraph"/>
        <w:numPr>
          <w:ilvl w:val="0"/>
          <w:numId w:val="29"/>
        </w:numPr>
      </w:pPr>
      <w:r>
        <w:t>Angie will work with Adam on the PR</w:t>
      </w:r>
    </w:p>
    <w:p w:rsidR="00FD7E5B" w:rsidRDefault="00FD7E5B" w:rsidP="00FD7E5B">
      <w:pPr>
        <w:pStyle w:val="ListParagraph"/>
        <w:numPr>
          <w:ilvl w:val="0"/>
          <w:numId w:val="29"/>
        </w:numPr>
      </w:pPr>
      <w:r>
        <w:t>Carey will order the award</w:t>
      </w:r>
    </w:p>
    <w:p w:rsidR="000724A7" w:rsidRDefault="000724A7" w:rsidP="00155EF9">
      <w:pPr>
        <w:pStyle w:val="Heading1"/>
      </w:pPr>
      <w:r>
        <w:t>Upcoming Events</w:t>
      </w:r>
    </w:p>
    <w:tbl>
      <w:tblPr>
        <w:tblStyle w:val="TableGrid"/>
        <w:tblW w:w="0" w:type="auto"/>
        <w:tblLook w:val="04A0" w:firstRow="1" w:lastRow="0" w:firstColumn="1" w:lastColumn="0" w:noHBand="0" w:noVBand="1"/>
      </w:tblPr>
      <w:tblGrid>
        <w:gridCol w:w="1255"/>
        <w:gridCol w:w="4500"/>
        <w:gridCol w:w="2337"/>
        <w:gridCol w:w="2698"/>
      </w:tblGrid>
      <w:tr w:rsidR="000724A7" w:rsidTr="000724A7">
        <w:tc>
          <w:tcPr>
            <w:tcW w:w="1255" w:type="dxa"/>
          </w:tcPr>
          <w:p w:rsidR="000724A7" w:rsidRDefault="000724A7" w:rsidP="000724A7">
            <w:pPr>
              <w:pStyle w:val="Heading2"/>
              <w:outlineLvl w:val="1"/>
            </w:pPr>
            <w:r>
              <w:t>Date</w:t>
            </w:r>
          </w:p>
        </w:tc>
        <w:tc>
          <w:tcPr>
            <w:tcW w:w="4500" w:type="dxa"/>
          </w:tcPr>
          <w:p w:rsidR="000724A7" w:rsidRDefault="000724A7" w:rsidP="000724A7">
            <w:pPr>
              <w:pStyle w:val="Heading2"/>
              <w:outlineLvl w:val="1"/>
            </w:pPr>
            <w:r>
              <w:t>Event</w:t>
            </w:r>
          </w:p>
        </w:tc>
        <w:tc>
          <w:tcPr>
            <w:tcW w:w="2337" w:type="dxa"/>
          </w:tcPr>
          <w:p w:rsidR="000724A7" w:rsidRDefault="000724A7" w:rsidP="000724A7">
            <w:pPr>
              <w:pStyle w:val="Heading2"/>
              <w:outlineLvl w:val="1"/>
            </w:pPr>
            <w:r>
              <w:t>Location</w:t>
            </w:r>
          </w:p>
        </w:tc>
        <w:tc>
          <w:tcPr>
            <w:tcW w:w="2698" w:type="dxa"/>
          </w:tcPr>
          <w:p w:rsidR="000724A7" w:rsidRDefault="000724A7" w:rsidP="000724A7">
            <w:pPr>
              <w:pStyle w:val="Heading2"/>
              <w:outlineLvl w:val="1"/>
            </w:pPr>
            <w:r>
              <w:t>Sponsor</w:t>
            </w:r>
          </w:p>
        </w:tc>
      </w:tr>
      <w:tr w:rsidR="00EB7C02" w:rsidRPr="00EB7C02" w:rsidTr="000724A7">
        <w:tc>
          <w:tcPr>
            <w:tcW w:w="1255" w:type="dxa"/>
          </w:tcPr>
          <w:p w:rsidR="00EB7C02" w:rsidRDefault="00EB7C02" w:rsidP="00EB7C02">
            <w:r>
              <w:t>May 3</w:t>
            </w:r>
          </w:p>
        </w:tc>
        <w:tc>
          <w:tcPr>
            <w:tcW w:w="4500" w:type="dxa"/>
          </w:tcPr>
          <w:p w:rsidR="00EB7C02" w:rsidRDefault="00EB7C02" w:rsidP="00EB7C02">
            <w:r w:rsidRPr="00EB7C02">
              <w:t>Introduction of SBA international financing  &amp; USCS export promotion tools to Montana bankers</w:t>
            </w:r>
          </w:p>
        </w:tc>
        <w:tc>
          <w:tcPr>
            <w:tcW w:w="2337" w:type="dxa"/>
          </w:tcPr>
          <w:p w:rsidR="00EB7C02" w:rsidRDefault="00EB7C02" w:rsidP="00EB7C02">
            <w:r>
              <w:t>Billings</w:t>
            </w:r>
          </w:p>
        </w:tc>
        <w:tc>
          <w:tcPr>
            <w:tcW w:w="2698" w:type="dxa"/>
          </w:tcPr>
          <w:p w:rsidR="00EB7C02" w:rsidRDefault="00EB7C02" w:rsidP="00EB7C02">
            <w:r>
              <w:t>SBA – Montana &amp; US Commercial Service</w:t>
            </w:r>
          </w:p>
        </w:tc>
      </w:tr>
      <w:tr w:rsidR="00EB7C02" w:rsidTr="000724A7">
        <w:tc>
          <w:tcPr>
            <w:tcW w:w="1255" w:type="dxa"/>
          </w:tcPr>
          <w:p w:rsidR="00EB7C02" w:rsidRDefault="00EB7C02" w:rsidP="00EB7C02">
            <w:r>
              <w:t>May 4</w:t>
            </w:r>
          </w:p>
        </w:tc>
        <w:tc>
          <w:tcPr>
            <w:tcW w:w="4500" w:type="dxa"/>
          </w:tcPr>
          <w:p w:rsidR="00EB7C02" w:rsidRDefault="00EB7C02" w:rsidP="00EB7C02">
            <w:r>
              <w:t>International Business Symposium</w:t>
            </w:r>
          </w:p>
        </w:tc>
        <w:tc>
          <w:tcPr>
            <w:tcW w:w="2337" w:type="dxa"/>
          </w:tcPr>
          <w:p w:rsidR="00EB7C02" w:rsidRDefault="00EB7C02" w:rsidP="00EB7C02">
            <w:r>
              <w:t>Bozeman</w:t>
            </w:r>
          </w:p>
        </w:tc>
        <w:tc>
          <w:tcPr>
            <w:tcW w:w="2698" w:type="dxa"/>
          </w:tcPr>
          <w:p w:rsidR="00EB7C02" w:rsidRDefault="00EB7C02" w:rsidP="00EB7C02">
            <w:r>
              <w:t>SBA – Montana &amp; US Commercial Service</w:t>
            </w:r>
          </w:p>
        </w:tc>
      </w:tr>
      <w:tr w:rsidR="00EB7C02" w:rsidRPr="00EB7C02" w:rsidTr="000724A7">
        <w:tc>
          <w:tcPr>
            <w:tcW w:w="1255" w:type="dxa"/>
          </w:tcPr>
          <w:p w:rsidR="00EB7C02" w:rsidRDefault="00EB7C02" w:rsidP="00EB7C02">
            <w:r>
              <w:t>May 8</w:t>
            </w:r>
          </w:p>
        </w:tc>
        <w:tc>
          <w:tcPr>
            <w:tcW w:w="4500" w:type="dxa"/>
          </w:tcPr>
          <w:p w:rsidR="00EB7C02" w:rsidRDefault="00EB7C02" w:rsidP="00EB7C02">
            <w:r>
              <w:t>Exporter Roundtable</w:t>
            </w:r>
          </w:p>
        </w:tc>
        <w:tc>
          <w:tcPr>
            <w:tcW w:w="2337" w:type="dxa"/>
          </w:tcPr>
          <w:p w:rsidR="00EB7C02" w:rsidRDefault="00EB7C02" w:rsidP="00EB7C02">
            <w:r>
              <w:t>Missoula</w:t>
            </w:r>
          </w:p>
        </w:tc>
        <w:tc>
          <w:tcPr>
            <w:tcW w:w="2698" w:type="dxa"/>
          </w:tcPr>
          <w:p w:rsidR="00EB7C02" w:rsidRDefault="00EB7C02" w:rsidP="00EB7C02">
            <w:r>
              <w:t>SBA – Montana</w:t>
            </w:r>
            <w:r>
              <w:t xml:space="preserve">, </w:t>
            </w:r>
            <w:r>
              <w:t>US Commercial Service</w:t>
            </w:r>
            <w:r>
              <w:t>, Montana World Trade Center</w:t>
            </w:r>
          </w:p>
        </w:tc>
      </w:tr>
      <w:tr w:rsidR="00EB7C02" w:rsidTr="000724A7">
        <w:tc>
          <w:tcPr>
            <w:tcW w:w="1255" w:type="dxa"/>
          </w:tcPr>
          <w:p w:rsidR="00EB7C02" w:rsidRDefault="00EB7C02" w:rsidP="00EB7C02">
            <w:r>
              <w:t>May 21</w:t>
            </w:r>
          </w:p>
        </w:tc>
        <w:tc>
          <w:tcPr>
            <w:tcW w:w="4500" w:type="dxa"/>
          </w:tcPr>
          <w:p w:rsidR="00EB7C02" w:rsidRDefault="00EB7C02" w:rsidP="00EB7C02">
            <w:r>
              <w:t>DEC meeting</w:t>
            </w:r>
          </w:p>
        </w:tc>
        <w:tc>
          <w:tcPr>
            <w:tcW w:w="2337" w:type="dxa"/>
          </w:tcPr>
          <w:p w:rsidR="00EB7C02" w:rsidRDefault="0040264E" w:rsidP="00EB7C02">
            <w:r w:rsidRPr="0040264E">
              <w:t>Highlander Brewery (Conference Room), Missoula</w:t>
            </w:r>
          </w:p>
        </w:tc>
        <w:tc>
          <w:tcPr>
            <w:tcW w:w="2698" w:type="dxa"/>
          </w:tcPr>
          <w:p w:rsidR="00EB7C02" w:rsidRDefault="00EB7C02" w:rsidP="00EB7C02">
            <w:r>
              <w:t>DEC</w:t>
            </w:r>
          </w:p>
        </w:tc>
      </w:tr>
      <w:tr w:rsidR="00EB7C02" w:rsidTr="000724A7">
        <w:tc>
          <w:tcPr>
            <w:tcW w:w="1255" w:type="dxa"/>
          </w:tcPr>
          <w:p w:rsidR="00EB7C02" w:rsidRDefault="00EB7C02" w:rsidP="00EB7C02">
            <w:r>
              <w:t>May 22</w:t>
            </w:r>
          </w:p>
        </w:tc>
        <w:tc>
          <w:tcPr>
            <w:tcW w:w="4500" w:type="dxa"/>
          </w:tcPr>
          <w:p w:rsidR="00EB7C02" w:rsidRDefault="00EB7C02" w:rsidP="00EB7C02">
            <w:r>
              <w:t>Manufacturing &amp; International Trade Day Symposium</w:t>
            </w:r>
          </w:p>
        </w:tc>
        <w:tc>
          <w:tcPr>
            <w:tcW w:w="2337" w:type="dxa"/>
          </w:tcPr>
          <w:p w:rsidR="00EB7C02" w:rsidRDefault="00EB7C02" w:rsidP="00EB7C02">
            <w:r w:rsidRPr="000724A7">
              <w:t>Holiday Inn Downtown, Missoula</w:t>
            </w:r>
          </w:p>
        </w:tc>
        <w:tc>
          <w:tcPr>
            <w:tcW w:w="2698" w:type="dxa"/>
          </w:tcPr>
          <w:p w:rsidR="00EB7C02" w:rsidRDefault="00EB7C02" w:rsidP="00EB7C02">
            <w:r>
              <w:t>Montana Chamber of Commerce</w:t>
            </w:r>
          </w:p>
        </w:tc>
      </w:tr>
      <w:tr w:rsidR="00EB7C02" w:rsidTr="000724A7">
        <w:tc>
          <w:tcPr>
            <w:tcW w:w="1255" w:type="dxa"/>
          </w:tcPr>
          <w:p w:rsidR="00EB7C02" w:rsidRPr="00EB7C02" w:rsidRDefault="00EB7C02" w:rsidP="00EB7C02">
            <w:r w:rsidRPr="00EB7C02">
              <w:t>May 23</w:t>
            </w:r>
          </w:p>
        </w:tc>
        <w:tc>
          <w:tcPr>
            <w:tcW w:w="4500" w:type="dxa"/>
          </w:tcPr>
          <w:p w:rsidR="00EB7C02" w:rsidRPr="00EB7C02" w:rsidRDefault="00EB7C02" w:rsidP="00EB7C02">
            <w:r w:rsidRPr="00EB7C02">
              <w:t>International Business Symposium</w:t>
            </w:r>
          </w:p>
        </w:tc>
        <w:tc>
          <w:tcPr>
            <w:tcW w:w="2337" w:type="dxa"/>
          </w:tcPr>
          <w:p w:rsidR="00EB7C02" w:rsidRPr="00EB7C02" w:rsidRDefault="00EB7C02" w:rsidP="00EB7C02">
            <w:r w:rsidRPr="00EB7C02">
              <w:t>Kalispell</w:t>
            </w:r>
          </w:p>
        </w:tc>
        <w:tc>
          <w:tcPr>
            <w:tcW w:w="2698" w:type="dxa"/>
          </w:tcPr>
          <w:p w:rsidR="00EB7C02" w:rsidRDefault="00EB7C02" w:rsidP="00EB7C02">
            <w:r w:rsidRPr="00EB7C02">
              <w:t>SBA – Montana &amp; US Commercial Service</w:t>
            </w:r>
          </w:p>
        </w:tc>
      </w:tr>
      <w:tr w:rsidR="00EB7C02" w:rsidTr="000724A7">
        <w:tc>
          <w:tcPr>
            <w:tcW w:w="1255" w:type="dxa"/>
          </w:tcPr>
          <w:p w:rsidR="00EB7C02" w:rsidRDefault="00EB7C02" w:rsidP="00EB7C02">
            <w:r>
              <w:t>May 24</w:t>
            </w:r>
          </w:p>
        </w:tc>
        <w:tc>
          <w:tcPr>
            <w:tcW w:w="4500" w:type="dxa"/>
          </w:tcPr>
          <w:p w:rsidR="00EB7C02" w:rsidRDefault="008B11DA" w:rsidP="00EB7C02">
            <w:proofErr w:type="spellStart"/>
            <w:r>
              <w:t>TechEx</w:t>
            </w:r>
            <w:proofErr w:type="spellEnd"/>
            <w:r>
              <w:t xml:space="preserve">: </w:t>
            </w:r>
            <w:r w:rsidRPr="008B11DA">
              <w:t xml:space="preserve">Montana SaaS firm </w:t>
            </w:r>
            <w:proofErr w:type="spellStart"/>
            <w:r w:rsidRPr="008B11DA">
              <w:t>Submittable</w:t>
            </w:r>
            <w:proofErr w:type="spellEnd"/>
            <w:r w:rsidRPr="008B11DA">
              <w:t xml:space="preserve"> &amp; select members of our </w:t>
            </w:r>
            <w:proofErr w:type="spellStart"/>
            <w:r w:rsidRPr="008B11DA">
              <w:t>TechEx</w:t>
            </w:r>
            <w:proofErr w:type="spellEnd"/>
            <w:r w:rsidRPr="008B11DA">
              <w:t xml:space="preserve"> team discuss EU GDPR</w:t>
            </w:r>
          </w:p>
        </w:tc>
        <w:tc>
          <w:tcPr>
            <w:tcW w:w="2337" w:type="dxa"/>
          </w:tcPr>
          <w:p w:rsidR="00EB7C02" w:rsidRDefault="008B11DA" w:rsidP="00EB7C02">
            <w:r w:rsidRPr="008B11DA">
              <w:t>UM Missoula College</w:t>
            </w:r>
          </w:p>
        </w:tc>
        <w:tc>
          <w:tcPr>
            <w:tcW w:w="2698" w:type="dxa"/>
          </w:tcPr>
          <w:p w:rsidR="00EB7C02" w:rsidRDefault="00EB7C02" w:rsidP="00EB7C02">
            <w:r>
              <w:t>Montana World Trade Center</w:t>
            </w:r>
          </w:p>
        </w:tc>
      </w:tr>
      <w:tr w:rsidR="00EB7C02" w:rsidTr="000724A7">
        <w:tc>
          <w:tcPr>
            <w:tcW w:w="1255" w:type="dxa"/>
          </w:tcPr>
          <w:p w:rsidR="00EB7C02" w:rsidRDefault="00EB7C02" w:rsidP="00EB7C02"/>
        </w:tc>
        <w:tc>
          <w:tcPr>
            <w:tcW w:w="4500" w:type="dxa"/>
          </w:tcPr>
          <w:p w:rsidR="00EB7C02" w:rsidRDefault="00EB7C02" w:rsidP="00EB7C02">
            <w:r w:rsidRPr="000724A7">
              <w:rPr>
                <w:highlight w:val="yellow"/>
              </w:rPr>
              <w:t>Jenni – MMEC add events/training here</w:t>
            </w:r>
          </w:p>
        </w:tc>
        <w:tc>
          <w:tcPr>
            <w:tcW w:w="2337" w:type="dxa"/>
          </w:tcPr>
          <w:p w:rsidR="00EB7C02" w:rsidRDefault="00EB7C02" w:rsidP="00EB7C02"/>
        </w:tc>
        <w:tc>
          <w:tcPr>
            <w:tcW w:w="2698" w:type="dxa"/>
          </w:tcPr>
          <w:p w:rsidR="00EB7C02" w:rsidRDefault="00EB7C02" w:rsidP="00EB7C02"/>
        </w:tc>
      </w:tr>
    </w:tbl>
    <w:p w:rsidR="00155EF9" w:rsidRDefault="00155EF9" w:rsidP="00155EF9">
      <w:pPr>
        <w:pStyle w:val="Heading1"/>
      </w:pPr>
      <w:bookmarkStart w:id="0" w:name="_GoBack"/>
      <w:bookmarkEnd w:id="0"/>
      <w:r>
        <w:t>Next Meeting</w:t>
      </w:r>
    </w:p>
    <w:p w:rsidR="00FD7E5B" w:rsidRDefault="004902DD" w:rsidP="00155EF9">
      <w:r>
        <w:rPr>
          <w:b/>
        </w:rPr>
        <w:t>Monday, May 21</w:t>
      </w:r>
      <w:r w:rsidR="009E0235" w:rsidRPr="009E0235">
        <w:rPr>
          <w:b/>
        </w:rPr>
        <w:t>, 2-4 pm</w:t>
      </w:r>
      <w:r w:rsidR="009E0235">
        <w:t xml:space="preserve">, </w:t>
      </w:r>
      <w:r w:rsidR="00017AF8">
        <w:t xml:space="preserve">location TBD </w:t>
      </w:r>
    </w:p>
    <w:p w:rsidR="00155EF9" w:rsidRDefault="00017AF8" w:rsidP="00155EF9">
      <w:r w:rsidRPr="00017AF8">
        <w:rPr>
          <w:i/>
        </w:rPr>
        <w:t>(NOTE: this is the day before the Montana Chamber’s Manufacturing &amp; International Trade Day; Exporter of the year will be presented in Missoula on the 22</w:t>
      </w:r>
      <w:r w:rsidRPr="00017AF8">
        <w:rPr>
          <w:i/>
          <w:vertAlign w:val="superscript"/>
        </w:rPr>
        <w:t>nd</w:t>
      </w:r>
      <w:r w:rsidRPr="00017AF8">
        <w:rPr>
          <w:i/>
        </w:rPr>
        <w:t xml:space="preserve"> – DEC members are requested to attend.)</w:t>
      </w:r>
    </w:p>
    <w:p w:rsidR="009E0235" w:rsidRDefault="00C15C51" w:rsidP="00155EF9">
      <w:r w:rsidRPr="00FD7E5B">
        <w:rPr>
          <w:b/>
        </w:rPr>
        <w:t>Topics</w:t>
      </w:r>
      <w:r>
        <w:t>:</w:t>
      </w:r>
    </w:p>
    <w:p w:rsidR="009E0235" w:rsidRDefault="0021734C" w:rsidP="009E0235">
      <w:pPr>
        <w:pStyle w:val="ListParagraph"/>
        <w:numPr>
          <w:ilvl w:val="1"/>
          <w:numId w:val="30"/>
        </w:numPr>
      </w:pPr>
      <w:r>
        <w:t>DEC funding</w:t>
      </w:r>
    </w:p>
    <w:p w:rsidR="0021734C" w:rsidRDefault="0021734C" w:rsidP="009E0235">
      <w:pPr>
        <w:pStyle w:val="ListParagraph"/>
        <w:numPr>
          <w:ilvl w:val="1"/>
          <w:numId w:val="30"/>
        </w:numPr>
      </w:pPr>
      <w:r>
        <w:t>Obstacles to exporting – leading to export training suggestions</w:t>
      </w:r>
    </w:p>
    <w:p w:rsidR="0021734C" w:rsidRDefault="0021734C" w:rsidP="009E0235">
      <w:pPr>
        <w:pStyle w:val="ListParagraph"/>
        <w:numPr>
          <w:ilvl w:val="1"/>
          <w:numId w:val="30"/>
        </w:numPr>
      </w:pPr>
      <w:r>
        <w:lastRenderedPageBreak/>
        <w:t>Reports from policy committees</w:t>
      </w:r>
    </w:p>
    <w:p w:rsidR="009E0235" w:rsidRDefault="009E0235" w:rsidP="009E0235">
      <w:pPr>
        <w:pStyle w:val="ListParagraph"/>
        <w:numPr>
          <w:ilvl w:val="1"/>
          <w:numId w:val="30"/>
        </w:numPr>
      </w:pPr>
      <w:r>
        <w:t>Recruiting additional exporters</w:t>
      </w:r>
      <w:r w:rsidR="004902DD">
        <w:t xml:space="preserve"> (especially Ag exporters)</w:t>
      </w:r>
      <w:r w:rsidR="0021734C">
        <w:t xml:space="preserve"> to attend DEC meetings </w:t>
      </w:r>
      <w:r w:rsidR="0021734C" w:rsidRPr="0021734C">
        <w:rPr>
          <w:highlight w:val="yellow"/>
        </w:rPr>
        <w:t>(Adam, what about a bring-a-friend suggestion for the next DEC meeting?)</w:t>
      </w:r>
    </w:p>
    <w:p w:rsidR="004902DD" w:rsidRDefault="004902DD" w:rsidP="004902DD">
      <w:pPr>
        <w:pStyle w:val="Heading2"/>
      </w:pPr>
      <w:r>
        <w:t>Action Items</w:t>
      </w:r>
    </w:p>
    <w:p w:rsidR="004902DD" w:rsidRDefault="004902DD" w:rsidP="004902DD">
      <w:pPr>
        <w:pStyle w:val="ListParagraph"/>
        <w:numPr>
          <w:ilvl w:val="0"/>
          <w:numId w:val="29"/>
        </w:numPr>
      </w:pPr>
      <w:r>
        <w:t>Carey will get all DEC members signed up for the National DEC news alerts.</w:t>
      </w:r>
    </w:p>
    <w:p w:rsidR="00017AF8" w:rsidRPr="004902DD" w:rsidRDefault="00017AF8" w:rsidP="004902DD">
      <w:pPr>
        <w:pStyle w:val="ListParagraph"/>
        <w:numPr>
          <w:ilvl w:val="0"/>
          <w:numId w:val="29"/>
        </w:numPr>
      </w:pPr>
      <w:r>
        <w:t>BD will secure next DEC meeting location.</w:t>
      </w:r>
    </w:p>
    <w:sectPr w:rsidR="00017AF8" w:rsidRPr="004902DD" w:rsidSect="009E19A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FC" w:rsidRDefault="000C4FFC">
      <w:r>
        <w:separator/>
      </w:r>
    </w:p>
  </w:endnote>
  <w:endnote w:type="continuationSeparator" w:id="0">
    <w:p w:rsidR="000C4FFC" w:rsidRDefault="000C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94" w:rsidRDefault="00605551">
    <w:pPr>
      <w:pStyle w:val="Footer"/>
    </w:pPr>
    <w:r>
      <w:t xml:space="preserve">Page </w:t>
    </w:r>
    <w:r>
      <w:fldChar w:fldCharType="begin"/>
    </w:r>
    <w:r>
      <w:instrText xml:space="preserve"> PAGE   \* MERGEFORMAT </w:instrText>
    </w:r>
    <w:r>
      <w:fldChar w:fldCharType="separate"/>
    </w:r>
    <w:r w:rsidR="0055232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FC" w:rsidRDefault="000C4FFC">
      <w:r>
        <w:separator/>
      </w:r>
    </w:p>
  </w:footnote>
  <w:footnote w:type="continuationSeparator" w:id="0">
    <w:p w:rsidR="000C4FFC" w:rsidRDefault="000C4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7701"/>
    <w:multiLevelType w:val="hybridMultilevel"/>
    <w:tmpl w:val="48EE5900"/>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F31E53"/>
    <w:multiLevelType w:val="hybridMultilevel"/>
    <w:tmpl w:val="31FA92C6"/>
    <w:lvl w:ilvl="0" w:tplc="9E42BE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D7FF5"/>
    <w:multiLevelType w:val="hybridMultilevel"/>
    <w:tmpl w:val="5608FBA0"/>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41509"/>
    <w:multiLevelType w:val="hybridMultilevel"/>
    <w:tmpl w:val="3FEA4C82"/>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66B6F"/>
    <w:multiLevelType w:val="hybridMultilevel"/>
    <w:tmpl w:val="8174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46433"/>
    <w:multiLevelType w:val="hybridMultilevel"/>
    <w:tmpl w:val="868C21DE"/>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A69A7"/>
    <w:multiLevelType w:val="hybridMultilevel"/>
    <w:tmpl w:val="8B606CDA"/>
    <w:lvl w:ilvl="0" w:tplc="C966D0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36C80"/>
    <w:multiLevelType w:val="hybridMultilevel"/>
    <w:tmpl w:val="5AF6EF90"/>
    <w:lvl w:ilvl="0" w:tplc="9E42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A5E8A"/>
    <w:multiLevelType w:val="hybridMultilevel"/>
    <w:tmpl w:val="5512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A2D87"/>
    <w:multiLevelType w:val="hybridMultilevel"/>
    <w:tmpl w:val="0778EEF0"/>
    <w:lvl w:ilvl="0" w:tplc="CA0EF1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91F24"/>
    <w:multiLevelType w:val="hybridMultilevel"/>
    <w:tmpl w:val="F04C1FBA"/>
    <w:lvl w:ilvl="0" w:tplc="E1E22C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8125A6"/>
    <w:multiLevelType w:val="hybridMultilevel"/>
    <w:tmpl w:val="FA0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A0ECF"/>
    <w:multiLevelType w:val="hybridMultilevel"/>
    <w:tmpl w:val="7578F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6AE7109"/>
    <w:multiLevelType w:val="hybridMultilevel"/>
    <w:tmpl w:val="594C1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02B30"/>
    <w:multiLevelType w:val="hybridMultilevel"/>
    <w:tmpl w:val="D9B6BB72"/>
    <w:lvl w:ilvl="0" w:tplc="C966D0DC">
      <w:start w:val="1"/>
      <w:numFmt w:val="bullet"/>
      <w:lvlText w:val=""/>
      <w:lvlJc w:val="left"/>
      <w:pPr>
        <w:ind w:left="720" w:hanging="360"/>
      </w:pPr>
      <w:rPr>
        <w:rFonts w:ascii="Symbol" w:hAnsi="Symbol" w:hint="default"/>
        <w:color w:val="auto"/>
      </w:rPr>
    </w:lvl>
    <w:lvl w:ilvl="1" w:tplc="8C645F3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46710"/>
    <w:multiLevelType w:val="hybridMultilevel"/>
    <w:tmpl w:val="4C4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2"/>
  </w:num>
  <w:num w:numId="18">
    <w:abstractNumId w:val="12"/>
  </w:num>
  <w:num w:numId="19">
    <w:abstractNumId w:val="20"/>
  </w:num>
  <w:num w:numId="20">
    <w:abstractNumId w:val="10"/>
  </w:num>
  <w:num w:numId="21">
    <w:abstractNumId w:val="16"/>
  </w:num>
  <w:num w:numId="22">
    <w:abstractNumId w:val="21"/>
  </w:num>
  <w:num w:numId="23">
    <w:abstractNumId w:val="13"/>
  </w:num>
  <w:num w:numId="24">
    <w:abstractNumId w:val="30"/>
  </w:num>
  <w:num w:numId="25">
    <w:abstractNumId w:val="18"/>
  </w:num>
  <w:num w:numId="26">
    <w:abstractNumId w:val="22"/>
  </w:num>
  <w:num w:numId="27">
    <w:abstractNumId w:val="27"/>
  </w:num>
  <w:num w:numId="28">
    <w:abstractNumId w:val="31"/>
  </w:num>
  <w:num w:numId="29">
    <w:abstractNumId w:val="23"/>
  </w:num>
  <w:num w:numId="30">
    <w:abstractNumId w:val="17"/>
  </w:num>
  <w:num w:numId="31">
    <w:abstractNumId w:val="25"/>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DF"/>
    <w:rsid w:val="00017AF8"/>
    <w:rsid w:val="00032653"/>
    <w:rsid w:val="00040542"/>
    <w:rsid w:val="000724A7"/>
    <w:rsid w:val="000A34D1"/>
    <w:rsid w:val="000C4FFC"/>
    <w:rsid w:val="001006F1"/>
    <w:rsid w:val="00100E79"/>
    <w:rsid w:val="0010588A"/>
    <w:rsid w:val="0013341D"/>
    <w:rsid w:val="00155EF9"/>
    <w:rsid w:val="001A2BF3"/>
    <w:rsid w:val="0021734C"/>
    <w:rsid w:val="00240DB2"/>
    <w:rsid w:val="002A57D9"/>
    <w:rsid w:val="002B68E4"/>
    <w:rsid w:val="002D1AE6"/>
    <w:rsid w:val="00301DE2"/>
    <w:rsid w:val="00307FBF"/>
    <w:rsid w:val="003520E3"/>
    <w:rsid w:val="00377A42"/>
    <w:rsid w:val="003C67AC"/>
    <w:rsid w:val="0040264E"/>
    <w:rsid w:val="004072AA"/>
    <w:rsid w:val="00425B95"/>
    <w:rsid w:val="0044121E"/>
    <w:rsid w:val="00446ED9"/>
    <w:rsid w:val="004758E7"/>
    <w:rsid w:val="004902DD"/>
    <w:rsid w:val="00550C45"/>
    <w:rsid w:val="00552328"/>
    <w:rsid w:val="00554362"/>
    <w:rsid w:val="00605551"/>
    <w:rsid w:val="006A37C6"/>
    <w:rsid w:val="006D5C7F"/>
    <w:rsid w:val="0071140E"/>
    <w:rsid w:val="007A727E"/>
    <w:rsid w:val="00822815"/>
    <w:rsid w:val="00833F66"/>
    <w:rsid w:val="00834429"/>
    <w:rsid w:val="00843739"/>
    <w:rsid w:val="00872B93"/>
    <w:rsid w:val="008B11DA"/>
    <w:rsid w:val="008D3C11"/>
    <w:rsid w:val="0090011A"/>
    <w:rsid w:val="00902ED5"/>
    <w:rsid w:val="00930452"/>
    <w:rsid w:val="009470DF"/>
    <w:rsid w:val="00961FE4"/>
    <w:rsid w:val="00994A12"/>
    <w:rsid w:val="00995555"/>
    <w:rsid w:val="009B3F54"/>
    <w:rsid w:val="009E0235"/>
    <w:rsid w:val="009E19A2"/>
    <w:rsid w:val="00A62BA1"/>
    <w:rsid w:val="00A71B6B"/>
    <w:rsid w:val="00B22A32"/>
    <w:rsid w:val="00B404C6"/>
    <w:rsid w:val="00B83828"/>
    <w:rsid w:val="00B84E02"/>
    <w:rsid w:val="00B97B4D"/>
    <w:rsid w:val="00BA055D"/>
    <w:rsid w:val="00BC5DBF"/>
    <w:rsid w:val="00C15C51"/>
    <w:rsid w:val="00C400A4"/>
    <w:rsid w:val="00CF2F9C"/>
    <w:rsid w:val="00D447CB"/>
    <w:rsid w:val="00D578BA"/>
    <w:rsid w:val="00D671B5"/>
    <w:rsid w:val="00D8456A"/>
    <w:rsid w:val="00D85EC9"/>
    <w:rsid w:val="00E249B7"/>
    <w:rsid w:val="00E63594"/>
    <w:rsid w:val="00E8245E"/>
    <w:rsid w:val="00EB7C02"/>
    <w:rsid w:val="00EC08CB"/>
    <w:rsid w:val="00F120BA"/>
    <w:rsid w:val="00F20CD3"/>
    <w:rsid w:val="00F60F59"/>
    <w:rsid w:val="00FD7E5B"/>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2D1AE6"/>
    <w:pPr>
      <w:pBdr>
        <w:top w:val="single" w:sz="4" w:space="1" w:color="C00000"/>
        <w:bottom w:val="single" w:sz="4" w:space="1" w:color="C00000"/>
      </w:pBdr>
      <w:spacing w:before="360" w:after="240"/>
      <w:outlineLvl w:val="0"/>
    </w:pPr>
    <w:rPr>
      <w:rFonts w:asciiTheme="majorHAnsi" w:eastAsiaTheme="majorEastAsia" w:hAnsiTheme="majorHAnsi" w:cstheme="majorBidi"/>
      <w:color w:val="344D6C" w:themeColor="accent6" w:themeShade="80"/>
      <w:sz w:val="24"/>
      <w:szCs w:val="24"/>
    </w:rPr>
  </w:style>
  <w:style w:type="paragraph" w:styleId="Heading2">
    <w:name w:val="heading 2"/>
    <w:basedOn w:val="Normal"/>
    <w:next w:val="Normal"/>
    <w:link w:val="Heading2Char"/>
    <w:unhideWhenUsed/>
    <w:qFormat/>
    <w:rsid w:val="004072AA"/>
    <w:pPr>
      <w:spacing w:before="240" w:after="240"/>
      <w:outlineLvl w:val="1"/>
    </w:pPr>
    <w:rPr>
      <w:rFonts w:asciiTheme="majorHAnsi" w:eastAsiaTheme="majorEastAsia" w:hAnsiTheme="majorHAnsi" w:cstheme="majorBidi"/>
      <w:b/>
      <w:color w:val="C0000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90011A"/>
    <w:pPr>
      <w:ind w:left="720"/>
      <w:contextualSpacing/>
    </w:pPr>
  </w:style>
  <w:style w:type="character" w:styleId="Hyperlink">
    <w:name w:val="Hyperlink"/>
    <w:basedOn w:val="DefaultParagraphFont"/>
    <w:uiPriority w:val="99"/>
    <w:unhideWhenUsed/>
    <w:rsid w:val="00554362"/>
    <w:rPr>
      <w:color w:val="8E58B6" w:themeColor="hyperlink"/>
      <w:u w:val="single"/>
    </w:rPr>
  </w:style>
  <w:style w:type="table" w:styleId="PlainTable1">
    <w:name w:val="Plain Table 1"/>
    <w:basedOn w:val="TableNormal"/>
    <w:uiPriority w:val="41"/>
    <w:rsid w:val="00B97B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55E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F9"/>
    <w:rPr>
      <w:rFonts w:ascii="Segoe UI" w:hAnsi="Segoe UI" w:cs="Segoe UI"/>
      <w:sz w:val="18"/>
      <w:szCs w:val="18"/>
    </w:rPr>
  </w:style>
  <w:style w:type="character" w:customStyle="1" w:styleId="Heading2Char">
    <w:name w:val="Heading 2 Char"/>
    <w:basedOn w:val="DefaultParagraphFont"/>
    <w:link w:val="Heading2"/>
    <w:rsid w:val="004072AA"/>
    <w:rPr>
      <w:rFonts w:asciiTheme="majorHAnsi" w:eastAsiaTheme="majorEastAsia" w:hAnsiTheme="majorHAnsi" w:cstheme="majorBidi"/>
      <w:b/>
      <w:color w:val="C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trictexportcouncil.org/event/2018-annual-nadec-legislative-summ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035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98040DCBEE4E4D84B2297349BA1D33"/>
        <w:category>
          <w:name w:val="General"/>
          <w:gallery w:val="placeholder"/>
        </w:category>
        <w:types>
          <w:type w:val="bbPlcHdr"/>
        </w:types>
        <w:behaviors>
          <w:behavior w:val="content"/>
        </w:behaviors>
        <w:guid w:val="{72E8D296-458C-4BAE-9D67-825E5D058983}"/>
      </w:docPartPr>
      <w:docPartBody>
        <w:p w:rsidR="007C00C6" w:rsidRDefault="004E1F5F">
          <w:pPr>
            <w:pStyle w:val="2D98040DCBEE4E4D84B2297349BA1D33"/>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6"/>
    <w:rsid w:val="004E1F5F"/>
    <w:rsid w:val="007C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98040DCBEE4E4D84B2297349BA1D33">
    <w:name w:val="2D98040DCBEE4E4D84B2297349BA1D33"/>
  </w:style>
  <w:style w:type="paragraph" w:customStyle="1" w:styleId="50C9482802094298A2DCD1744BCB870B">
    <w:name w:val="50C9482802094298A2DCD1744BCB870B"/>
  </w:style>
  <w:style w:type="paragraph" w:customStyle="1" w:styleId="A3C52F4545FC45AB8C5163A4BB7BACFB">
    <w:name w:val="A3C52F4545FC45AB8C5163A4BB7BACFB"/>
  </w:style>
  <w:style w:type="paragraph" w:customStyle="1" w:styleId="11A98F1EAAF845F1A0ADFF9FC95EE77F">
    <w:name w:val="11A98F1EAAF845F1A0ADFF9FC95EE77F"/>
  </w:style>
  <w:style w:type="paragraph" w:customStyle="1" w:styleId="F749BF650D134EE1875405A869AB70AB">
    <w:name w:val="F749BF650D134EE1875405A869AB70AB"/>
  </w:style>
  <w:style w:type="paragraph" w:customStyle="1" w:styleId="9D8084561D5247CBBB38EC1D290FDEC3">
    <w:name w:val="9D8084561D5247CBBB38EC1D290FDEC3"/>
  </w:style>
  <w:style w:type="paragraph" w:customStyle="1" w:styleId="DBB37A105DB6401891712B9CED2430FB">
    <w:name w:val="DBB37A105DB6401891712B9CED2430FB"/>
  </w:style>
  <w:style w:type="paragraph" w:customStyle="1" w:styleId="C868E56750D84A768BB20F28D65AC2EB">
    <w:name w:val="C868E56750D84A768BB20F28D65AC2EB"/>
  </w:style>
  <w:style w:type="paragraph" w:customStyle="1" w:styleId="76E93D4DA19A42009C42519B91BB53A7">
    <w:name w:val="76E93D4DA19A42009C42519B91BB53A7"/>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2830F79F2FAF426F8A403E3D8F141531">
    <w:name w:val="2830F79F2FAF426F8A403E3D8F141531"/>
  </w:style>
  <w:style w:type="paragraph" w:customStyle="1" w:styleId="C4644EBAC8934CF599AEDDE4CAE72D7A">
    <w:name w:val="C4644EBAC8934CF599AEDDE4CAE72D7A"/>
  </w:style>
  <w:style w:type="paragraph" w:customStyle="1" w:styleId="142615CCFD8848EBB27F3968F1605F5C">
    <w:name w:val="142615CCFD8848EBB27F3968F1605F5C"/>
  </w:style>
  <w:style w:type="paragraph" w:customStyle="1" w:styleId="2AF84F369DA44B5AB50B7221868913DE">
    <w:name w:val="2AF84F369DA44B5AB50B7221868913DE"/>
  </w:style>
  <w:style w:type="paragraph" w:customStyle="1" w:styleId="6FBC61286553411C93A6C6079C371FD9">
    <w:name w:val="6FBC61286553411C93A6C6079C371FD9"/>
  </w:style>
  <w:style w:type="paragraph" w:customStyle="1" w:styleId="D703D852A30D4E32AC7BD6B29653247D">
    <w:name w:val="D703D852A30D4E32AC7BD6B29653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2018-04-06T00:43:00Z</dcterms:created>
  <dcterms:modified xsi:type="dcterms:W3CDTF">2018-04-17T16:37:00Z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