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E81D" w14:textId="6FAA08F9" w:rsidR="00E63594" w:rsidRPr="009470DF" w:rsidRDefault="00C95670" w:rsidP="00FF435D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80093F0" wp14:editId="2581F685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2085975" cy="1053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50" cy="10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0DF">
        <w:t xml:space="preserve"> </w:t>
      </w:r>
      <w:r w:rsidR="00605551" w:rsidRPr="00FF435D">
        <w:t>MINUTES</w:t>
      </w:r>
    </w:p>
    <w:p w14:paraId="67AA8097" w14:textId="77777777" w:rsidR="00E63594" w:rsidRPr="009470DF" w:rsidRDefault="00A252CE" w:rsidP="004E2E43">
      <w:pPr>
        <w:pStyle w:val="Subtitle"/>
        <w:spacing w:before="120"/>
        <w:rPr>
          <w:color w:val="C00000"/>
        </w:rPr>
      </w:pPr>
      <w:sdt>
        <w:sdtPr>
          <w:rPr>
            <w:color w:val="C00000"/>
          </w:rPr>
          <w:id w:val="841976995"/>
          <w:placeholder>
            <w:docPart w:val="2D98040DCBEE4E4D84B2297349BA1D33"/>
          </w:placeholder>
          <w15:appearance w15:val="hidden"/>
        </w:sdtPr>
        <w:sdtEndPr/>
        <w:sdtContent>
          <w:r w:rsidR="009470DF" w:rsidRPr="009470DF">
            <w:rPr>
              <w:color w:val="C00000"/>
            </w:rPr>
            <w:t>Montana District Export Council</w:t>
          </w:r>
        </w:sdtContent>
      </w:sdt>
    </w:p>
    <w:p w14:paraId="13141BD1" w14:textId="5264F8A8" w:rsidR="00E63594" w:rsidRPr="009470DF" w:rsidRDefault="00E07355" w:rsidP="004E2E43">
      <w:pPr>
        <w:pBdr>
          <w:top w:val="single" w:sz="4" w:space="1" w:color="444D26" w:themeColor="text2"/>
        </w:pBdr>
        <w:spacing w:before="120" w:after="120"/>
        <w:jc w:val="right"/>
        <w:rPr>
          <w:color w:val="C00000"/>
        </w:rPr>
      </w:pPr>
      <w:r>
        <w:rPr>
          <w:rStyle w:val="IntenseEmphasis"/>
          <w:color w:val="C00000"/>
        </w:rPr>
        <w:t xml:space="preserve">February 20, </w:t>
      </w:r>
      <w:proofErr w:type="gramStart"/>
      <w:r>
        <w:rPr>
          <w:rStyle w:val="IntenseEmphasis"/>
          <w:color w:val="C00000"/>
        </w:rPr>
        <w:t>2019  |</w:t>
      </w:r>
      <w:proofErr w:type="gramEnd"/>
      <w:r>
        <w:rPr>
          <w:rStyle w:val="IntenseEmphasis"/>
          <w:color w:val="C00000"/>
        </w:rPr>
        <w:t xml:space="preserve">  Billings</w:t>
      </w:r>
      <w:r w:rsidR="00F24506">
        <w:rPr>
          <w:rStyle w:val="IntenseEmphasis"/>
          <w:color w:val="C00000"/>
        </w:rPr>
        <w:t>, MT</w:t>
      </w:r>
    </w:p>
    <w:p w14:paraId="0B593180" w14:textId="72117B24" w:rsidR="00B42E18" w:rsidRPr="00B42E18" w:rsidRDefault="00B42E18" w:rsidP="004E2E43">
      <w:pPr>
        <w:pStyle w:val="Heading1"/>
      </w:pPr>
      <w:r>
        <w:t xml:space="preserve">DEC </w:t>
      </w:r>
      <w:r w:rsidRPr="004E2E43">
        <w:t>Mission</w:t>
      </w:r>
      <w:r>
        <w:t xml:space="preserve"> Statement</w:t>
      </w:r>
    </w:p>
    <w:p w14:paraId="4B3F6AB9" w14:textId="07DDBD19" w:rsidR="005A2BEB" w:rsidRDefault="005A2BEB" w:rsidP="004E2E43">
      <w:pPr>
        <w:spacing w:before="120" w:after="120"/>
      </w:pPr>
      <w:r>
        <w:t xml:space="preserve">The Montana DEC will </w:t>
      </w:r>
      <w:r w:rsidRPr="00E638B0">
        <w:rPr>
          <w:b/>
        </w:rPr>
        <w:t>support Montana exporters</w:t>
      </w:r>
      <w:r>
        <w:t xml:space="preserve"> and </w:t>
      </w:r>
      <w:r w:rsidRPr="00E638B0">
        <w:rPr>
          <w:b/>
        </w:rPr>
        <w:t>provide a collective Montana exporter voice</w:t>
      </w:r>
      <w:r>
        <w:t xml:space="preserve"> to advise on </w:t>
      </w:r>
      <w:r w:rsidRPr="00E638B0">
        <w:rPr>
          <w:b/>
        </w:rPr>
        <w:t>export education</w:t>
      </w:r>
      <w:r>
        <w:t xml:space="preserve"> needs and disseminate education opportunities to its collective networks; and to </w:t>
      </w:r>
      <w:r w:rsidRPr="00E638B0">
        <w:rPr>
          <w:b/>
        </w:rPr>
        <w:t>advise policy makers on export policies</w:t>
      </w:r>
      <w:r>
        <w:t xml:space="preserve"> under consideration and provide suggestions for future legislation.</w:t>
      </w:r>
    </w:p>
    <w:p w14:paraId="057BD72E" w14:textId="77CCB6D7" w:rsidR="00E63594" w:rsidRPr="002D1AE6" w:rsidRDefault="00605551" w:rsidP="004E2E43">
      <w:pPr>
        <w:pStyle w:val="Heading1"/>
      </w:pPr>
      <w:r w:rsidRPr="002D1AE6">
        <w:t>In Attendance</w:t>
      </w:r>
    </w:p>
    <w:p w14:paraId="7AFAA04D" w14:textId="77777777" w:rsidR="009E19A2" w:rsidRDefault="009E19A2" w:rsidP="004E2E43">
      <w:pPr>
        <w:spacing w:before="120" w:after="120"/>
        <w:sectPr w:rsidR="009E19A2" w:rsidSect="00433C82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CE4CBA6" w14:textId="3C85A795" w:rsidR="00B42E18" w:rsidRDefault="00B42E18" w:rsidP="00EF3979">
      <w:pPr>
        <w:pStyle w:val="Heading2"/>
      </w:pPr>
      <w:r w:rsidRPr="00B42E18">
        <w:t>Official DEC Members</w:t>
      </w:r>
    </w:p>
    <w:p w14:paraId="4FB0F7AA" w14:textId="77777777" w:rsidR="00160169" w:rsidRDefault="00160169" w:rsidP="00160169">
      <w:r>
        <w:t xml:space="preserve">Adam – </w:t>
      </w:r>
      <w:proofErr w:type="spellStart"/>
      <w:r>
        <w:t>Resonon</w:t>
      </w:r>
      <w:proofErr w:type="spellEnd"/>
      <w:r>
        <w:t>, DEC Chair</w:t>
      </w:r>
    </w:p>
    <w:p w14:paraId="33C519A3" w14:textId="77777777" w:rsidR="00A759EB" w:rsidRDefault="00A759EB" w:rsidP="00160169">
      <w:r>
        <w:t xml:space="preserve">B.D. – </w:t>
      </w:r>
      <w:proofErr w:type="spellStart"/>
      <w:r>
        <w:t>Satic</w:t>
      </w:r>
      <w:proofErr w:type="spellEnd"/>
      <w:r>
        <w:t xml:space="preserve"> USA, DEC Vice Chair</w:t>
      </w:r>
    </w:p>
    <w:p w14:paraId="38FCB399" w14:textId="09B9B0ED" w:rsidR="008E68AC" w:rsidRDefault="008E68AC" w:rsidP="00160169">
      <w:r>
        <w:t xml:space="preserve">Mara – </w:t>
      </w:r>
      <w:proofErr w:type="spellStart"/>
      <w:r>
        <w:t>Enell</w:t>
      </w:r>
      <w:proofErr w:type="spellEnd"/>
      <w:r>
        <w:t xml:space="preserve"> </w:t>
      </w:r>
    </w:p>
    <w:p w14:paraId="1E4245D5" w14:textId="53B91EF9" w:rsidR="009C59ED" w:rsidRDefault="009C59ED" w:rsidP="00160169">
      <w:r>
        <w:t xml:space="preserve">Barry – Wood’s </w:t>
      </w:r>
      <w:proofErr w:type="spellStart"/>
      <w:r>
        <w:t>Powr</w:t>
      </w:r>
      <w:proofErr w:type="spellEnd"/>
      <w:r>
        <w:t xml:space="preserve"> Grip</w:t>
      </w:r>
    </w:p>
    <w:p w14:paraId="772A020F" w14:textId="67AFCCEA" w:rsidR="0026509A" w:rsidRDefault="00433C82" w:rsidP="00160169">
      <w:r>
        <w:t xml:space="preserve">Diana – </w:t>
      </w:r>
      <w:proofErr w:type="spellStart"/>
      <w:r>
        <w:t>TowHaul</w:t>
      </w:r>
      <w:proofErr w:type="spellEnd"/>
      <w:r>
        <w:t xml:space="preserve"> </w:t>
      </w:r>
    </w:p>
    <w:p w14:paraId="5E550CC4" w14:textId="5B95A495" w:rsidR="00A759EB" w:rsidRDefault="00A759EB" w:rsidP="00160169">
      <w:r>
        <w:t xml:space="preserve">Tibor – </w:t>
      </w:r>
      <w:proofErr w:type="spellStart"/>
      <w:r>
        <w:t>Resodyn</w:t>
      </w:r>
      <w:proofErr w:type="spellEnd"/>
      <w:r>
        <w:t xml:space="preserve"> </w:t>
      </w:r>
    </w:p>
    <w:p w14:paraId="16D7C9FD" w14:textId="030CA462" w:rsidR="00A759EB" w:rsidRDefault="00A759EB" w:rsidP="00160169">
      <w:r>
        <w:t xml:space="preserve">Richard – </w:t>
      </w:r>
      <w:r w:rsidR="00B601A0">
        <w:t xml:space="preserve">The </w:t>
      </w:r>
      <w:r>
        <w:t xml:space="preserve">Law </w:t>
      </w:r>
      <w:r w:rsidR="00B601A0">
        <w:t>Office</w:t>
      </w:r>
      <w:r>
        <w:t xml:space="preserve"> of Richard </w:t>
      </w:r>
      <w:proofErr w:type="spellStart"/>
      <w:r>
        <w:t>Hegger</w:t>
      </w:r>
      <w:proofErr w:type="spellEnd"/>
    </w:p>
    <w:p w14:paraId="3401BA46" w14:textId="170AFE59" w:rsidR="00A759EB" w:rsidRDefault="00A759EB" w:rsidP="00160169">
      <w:r>
        <w:t xml:space="preserve">Bill MacBride </w:t>
      </w:r>
      <w:r w:rsidR="00B601A0">
        <w:t>–</w:t>
      </w:r>
      <w:r>
        <w:t xml:space="preserve"> </w:t>
      </w:r>
      <w:r w:rsidR="00B601A0" w:rsidRPr="00B601A0">
        <w:t>MacBride</w:t>
      </w:r>
      <w:r w:rsidR="00B601A0">
        <w:t xml:space="preserve"> </w:t>
      </w:r>
      <w:r w:rsidR="00B601A0" w:rsidRPr="00B601A0">
        <w:t>Law, PLLC</w:t>
      </w:r>
      <w:r w:rsidR="00B601A0">
        <w:t xml:space="preserve"> </w:t>
      </w:r>
    </w:p>
    <w:p w14:paraId="1BCC5F66" w14:textId="61C044E5" w:rsidR="00B601A0" w:rsidRDefault="00B601A0" w:rsidP="00160169">
      <w:r>
        <w:t>Joel – Ascent Vision Technologies</w:t>
      </w:r>
    </w:p>
    <w:p w14:paraId="5282BD0C" w14:textId="281FF057" w:rsidR="00433C82" w:rsidRDefault="00B601A0" w:rsidP="00433C82">
      <w:pPr>
        <w:pStyle w:val="Heading2"/>
      </w:pPr>
      <w:r>
        <w:br w:type="column"/>
      </w:r>
      <w:r w:rsidR="00433C82">
        <w:t>Guests</w:t>
      </w:r>
    </w:p>
    <w:p w14:paraId="705F04FC" w14:textId="05F74707" w:rsidR="00433C82" w:rsidRDefault="00433C82" w:rsidP="00433C82">
      <w:r>
        <w:t xml:space="preserve">Susan – </w:t>
      </w:r>
      <w:proofErr w:type="spellStart"/>
      <w:r>
        <w:t>Tabletree</w:t>
      </w:r>
      <w:proofErr w:type="spellEnd"/>
      <w:r>
        <w:t xml:space="preserve"> Juice</w:t>
      </w:r>
    </w:p>
    <w:p w14:paraId="11544DF5" w14:textId="77777777" w:rsidR="00B601A0" w:rsidRDefault="00A759EB" w:rsidP="00B601A0">
      <w:r>
        <w:t>Dave – Ideal Mfg.</w:t>
      </w:r>
    </w:p>
    <w:p w14:paraId="34ECC79E" w14:textId="2E6C71BE" w:rsidR="00B42E18" w:rsidRDefault="00B42E18" w:rsidP="00B601A0">
      <w:pPr>
        <w:pStyle w:val="Heading2"/>
      </w:pPr>
      <w:r w:rsidRPr="00B42E18">
        <w:t>Export Resource Partners</w:t>
      </w:r>
    </w:p>
    <w:p w14:paraId="6F53C934" w14:textId="33916F85" w:rsidR="00A759EB" w:rsidRDefault="00A759EB" w:rsidP="00AE1535">
      <w:r>
        <w:t>Wayne – Small Business Administration – Montana</w:t>
      </w:r>
    </w:p>
    <w:p w14:paraId="5988FF71" w14:textId="1618D23F" w:rsidR="00A759EB" w:rsidRDefault="00A759EB" w:rsidP="00AE1535">
      <w:r>
        <w:t>Carey – US Commercial Service – Montana</w:t>
      </w:r>
    </w:p>
    <w:p w14:paraId="6F39B461" w14:textId="3DBEBDED" w:rsidR="00022E67" w:rsidRDefault="00022E67" w:rsidP="00AE1535">
      <w:r>
        <w:t xml:space="preserve">Angie – </w:t>
      </w:r>
      <w:proofErr w:type="spellStart"/>
      <w:r>
        <w:t>ExportMontana</w:t>
      </w:r>
      <w:proofErr w:type="spellEnd"/>
      <w:r>
        <w:t>, Montana Department of Commerce</w:t>
      </w:r>
    </w:p>
    <w:p w14:paraId="0F8E7649" w14:textId="13A67D5C" w:rsidR="00433C82" w:rsidRDefault="00433C82" w:rsidP="00433C82">
      <w:r>
        <w:t>Brigitta – Montana World Trade Center</w:t>
      </w:r>
    </w:p>
    <w:p w14:paraId="001A38FE" w14:textId="77777777" w:rsidR="00433C82" w:rsidRDefault="00433C82" w:rsidP="00F24506">
      <w:pPr>
        <w:pStyle w:val="Heading1"/>
        <w:sectPr w:rsidR="00433C82" w:rsidSect="00433C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160C07" w14:textId="7523F927" w:rsidR="00F24506" w:rsidRDefault="00F24506" w:rsidP="00F24506">
      <w:pPr>
        <w:pStyle w:val="Heading1"/>
      </w:pPr>
      <w:r>
        <w:t>Next Meeting</w:t>
      </w:r>
    </w:p>
    <w:p w14:paraId="1BD856EA" w14:textId="200812A7" w:rsidR="00F24506" w:rsidRPr="00494ACB" w:rsidRDefault="00E07355" w:rsidP="00F24506">
      <w:pPr>
        <w:rPr>
          <w:b/>
        </w:rPr>
      </w:pPr>
      <w:r>
        <w:rPr>
          <w:b/>
        </w:rPr>
        <w:t>2-</w:t>
      </w:r>
      <w:r w:rsidRPr="00494ACB">
        <w:rPr>
          <w:b/>
        </w:rPr>
        <w:t>4 pm, Wednesday, May 15</w:t>
      </w:r>
      <w:r w:rsidRPr="00494ACB">
        <w:t xml:space="preserve">, adjacent to </w:t>
      </w:r>
      <w:r w:rsidRPr="00494ACB">
        <w:rPr>
          <w:b/>
        </w:rPr>
        <w:t>Montana Exporter of the Year Award Ceremony</w:t>
      </w:r>
    </w:p>
    <w:p w14:paraId="558B17D6" w14:textId="0D706649" w:rsidR="00F24506" w:rsidRPr="00494ACB" w:rsidRDefault="00F24506" w:rsidP="00F24506">
      <w:r w:rsidRPr="00494ACB">
        <w:rPr>
          <w:b/>
        </w:rPr>
        <w:t>In person</w:t>
      </w:r>
      <w:r w:rsidRPr="00494ACB">
        <w:t xml:space="preserve">: </w:t>
      </w:r>
      <w:r w:rsidR="00E07355" w:rsidRPr="00494ACB">
        <w:t>To be determined; dependent upon Exporter of the Year Award recipient’s home town</w:t>
      </w:r>
      <w:r w:rsidRPr="00494ACB">
        <w:t>.  Area exporters will be invited as guests for future DEC membership.</w:t>
      </w:r>
      <w:r w:rsidR="0087739C" w:rsidRPr="00494ACB">
        <w:t xml:space="preserve">  Additionally, each DEC member will invite at least one exporter of their acquaintance to attend the DEC meeting to encourage future DEC membership.</w:t>
      </w:r>
    </w:p>
    <w:p w14:paraId="541E5BDC" w14:textId="7A22B76D" w:rsidR="00F24506" w:rsidRPr="00494ACB" w:rsidRDefault="00F24506" w:rsidP="00F24506">
      <w:r w:rsidRPr="00494ACB">
        <w:rPr>
          <w:b/>
        </w:rPr>
        <w:t>Call-in</w:t>
      </w:r>
      <w:r w:rsidRPr="00494ACB">
        <w:t xml:space="preserve">: </w:t>
      </w:r>
      <w:r w:rsidR="00494ACB" w:rsidRPr="00494ACB">
        <w:t>TBD</w:t>
      </w:r>
    </w:p>
    <w:p w14:paraId="2BB6EF13" w14:textId="77777777" w:rsidR="00F24506" w:rsidRPr="00494ACB" w:rsidRDefault="00F24506" w:rsidP="00F24506">
      <w:r w:rsidRPr="00494ACB">
        <w:t xml:space="preserve">Agenda items will include: </w:t>
      </w:r>
    </w:p>
    <w:p w14:paraId="31C001D6" w14:textId="14F37F12" w:rsidR="00F24506" w:rsidRPr="00494ACB" w:rsidRDefault="00F24506" w:rsidP="00494ACB">
      <w:pPr>
        <w:pStyle w:val="ListParagraph"/>
        <w:numPr>
          <w:ilvl w:val="0"/>
          <w:numId w:val="9"/>
        </w:numPr>
        <w:spacing w:before="0" w:after="160" w:line="259" w:lineRule="auto"/>
      </w:pPr>
      <w:r w:rsidRPr="00494ACB">
        <w:t xml:space="preserve">Exporter of the Year Award </w:t>
      </w:r>
      <w:r w:rsidR="00494ACB" w:rsidRPr="00494ACB">
        <w:t>ceremony</w:t>
      </w:r>
    </w:p>
    <w:p w14:paraId="5C5EA4BD" w14:textId="1DC362AB" w:rsidR="00494ACB" w:rsidRPr="00494ACB" w:rsidRDefault="00494ACB" w:rsidP="00494ACB">
      <w:pPr>
        <w:pStyle w:val="ListParagraph"/>
        <w:numPr>
          <w:ilvl w:val="0"/>
          <w:numId w:val="9"/>
        </w:numPr>
        <w:spacing w:before="0" w:after="160" w:line="259" w:lineRule="auto"/>
      </w:pPr>
      <w:r w:rsidRPr="00494ACB">
        <w:t>USMCA update</w:t>
      </w:r>
    </w:p>
    <w:p w14:paraId="6BACF2FD" w14:textId="63428D15" w:rsidR="00494ACB" w:rsidRPr="00494ACB" w:rsidRDefault="00494ACB" w:rsidP="00494ACB">
      <w:pPr>
        <w:pStyle w:val="ListParagraph"/>
        <w:numPr>
          <w:ilvl w:val="0"/>
          <w:numId w:val="9"/>
        </w:numPr>
        <w:spacing w:before="0" w:after="160" w:line="259" w:lineRule="auto"/>
      </w:pPr>
      <w:r w:rsidRPr="00494ACB">
        <w:t>NADEC update</w:t>
      </w:r>
    </w:p>
    <w:p w14:paraId="0B2B41D6" w14:textId="76843D23" w:rsidR="00494ACB" w:rsidRPr="00494ACB" w:rsidRDefault="00494ACB" w:rsidP="00494ACB">
      <w:pPr>
        <w:pStyle w:val="ListParagraph"/>
        <w:numPr>
          <w:ilvl w:val="0"/>
          <w:numId w:val="9"/>
        </w:numPr>
        <w:spacing w:before="0" w:after="160" w:line="259" w:lineRule="auto"/>
      </w:pPr>
      <w:r w:rsidRPr="00494ACB">
        <w:t>Exporter webinars update</w:t>
      </w:r>
    </w:p>
    <w:p w14:paraId="4A2A6226" w14:textId="497F3D23" w:rsidR="00494ACB" w:rsidRPr="00494ACB" w:rsidRDefault="00494ACB" w:rsidP="00494ACB">
      <w:pPr>
        <w:pStyle w:val="ListParagraph"/>
        <w:numPr>
          <w:ilvl w:val="0"/>
          <w:numId w:val="9"/>
        </w:numPr>
        <w:spacing w:before="0" w:after="160" w:line="259" w:lineRule="auto"/>
      </w:pPr>
      <w:r w:rsidRPr="00494ACB">
        <w:t>STEP grant FFY 19 update</w:t>
      </w:r>
    </w:p>
    <w:p w14:paraId="7D97686A" w14:textId="77777777" w:rsidR="00A252CE" w:rsidRDefault="00A252CE">
      <w:pPr>
        <w:spacing w:before="0" w:after="200" w:line="276" w:lineRule="auto"/>
        <w:rPr>
          <w:rFonts w:asciiTheme="majorHAnsi" w:eastAsiaTheme="majorEastAsia" w:hAnsiTheme="majorHAnsi" w:cstheme="majorBidi"/>
          <w:color w:val="344D6C" w:themeColor="accent6" w:themeShade="80"/>
          <w:sz w:val="24"/>
          <w:szCs w:val="24"/>
        </w:rPr>
      </w:pPr>
      <w:r>
        <w:br w:type="page"/>
      </w:r>
    </w:p>
    <w:p w14:paraId="2E1338B3" w14:textId="287DCFBE" w:rsidR="00F24506" w:rsidRDefault="00F24506" w:rsidP="00F24506">
      <w:pPr>
        <w:pStyle w:val="Heading1"/>
      </w:pPr>
      <w:bookmarkStart w:id="0" w:name="_GoBack"/>
      <w:bookmarkEnd w:id="0"/>
      <w:r>
        <w:lastRenderedPageBreak/>
        <w:t>Minutes</w:t>
      </w:r>
    </w:p>
    <w:p w14:paraId="3272E938" w14:textId="77777777" w:rsidR="00F24506" w:rsidRDefault="00F24506" w:rsidP="00F24506">
      <w:r>
        <w:t>Minutes were presented and approved.</w:t>
      </w:r>
    </w:p>
    <w:p w14:paraId="7D69DA0A" w14:textId="77777777" w:rsidR="00F24506" w:rsidRDefault="00F24506" w:rsidP="00F24506">
      <w:pPr>
        <w:pStyle w:val="Heading1"/>
      </w:pPr>
      <w:r>
        <w:t>Treasurer’s Report</w:t>
      </w:r>
    </w:p>
    <w:p w14:paraId="60DEA386" w14:textId="77777777" w:rsidR="00F24506" w:rsidRDefault="00F24506" w:rsidP="00F24506">
      <w:r>
        <w:t>Treasurer’s report was presented and approved with $337 as the balance.</w:t>
      </w:r>
    </w:p>
    <w:p w14:paraId="5834291D" w14:textId="77777777" w:rsidR="00F24506" w:rsidRDefault="00F24506" w:rsidP="00F24506">
      <w:pPr>
        <w:pStyle w:val="Heading1"/>
      </w:pPr>
      <w:r>
        <w:t>Public Comments</w:t>
      </w:r>
    </w:p>
    <w:p w14:paraId="641A2AC7" w14:textId="77777777" w:rsidR="00F24506" w:rsidRDefault="00F24506" w:rsidP="00F24506">
      <w:r>
        <w:t>Time for public comment was offered; none provided.</w:t>
      </w:r>
    </w:p>
    <w:p w14:paraId="72FE0C1B" w14:textId="77777777" w:rsidR="00E07355" w:rsidRDefault="00E07355" w:rsidP="00E07355">
      <w:pPr>
        <w:pStyle w:val="Heading1"/>
      </w:pPr>
      <w:r>
        <w:t>USMCA</w:t>
      </w:r>
    </w:p>
    <w:p w14:paraId="0BE07D3A" w14:textId="54CB5422" w:rsidR="00E07355" w:rsidRDefault="00E07355" w:rsidP="00E07355">
      <w:r>
        <w:t xml:space="preserve">The proposed replacement for NAFTA, </w:t>
      </w:r>
      <w:hyperlink r:id="rId10" w:history="1">
        <w:r w:rsidRPr="00E07355">
          <w:rPr>
            <w:rStyle w:val="Hyperlink"/>
          </w:rPr>
          <w:t>US-Mexico-Canada Agreement</w:t>
        </w:r>
      </w:hyperlink>
      <w:r>
        <w:t xml:space="preserve"> (USMCA), is currently under consideration by Congress.  </w:t>
      </w:r>
    </w:p>
    <w:p w14:paraId="44430DDF" w14:textId="6D69EAF1" w:rsidR="00E07355" w:rsidRPr="00AD268B" w:rsidRDefault="006F5D23" w:rsidP="00E07355">
      <w:r>
        <w:t xml:space="preserve">The </w:t>
      </w:r>
      <w:hyperlink r:id="rId11" w:history="1">
        <w:r w:rsidRPr="006F5D23">
          <w:rPr>
            <w:rStyle w:val="Hyperlink"/>
          </w:rPr>
          <w:t>Montana Fact Sheet</w:t>
        </w:r>
      </w:hyperlink>
      <w:r>
        <w:t xml:space="preserve">, created by the Office of the US Trade Representative, provides a Federal perspective on potential impacts.  Additionally, </w:t>
      </w:r>
      <w:r w:rsidR="00E07355">
        <w:t>Brigitta will send additional information on the Montana World Trade Center’s March 28</w:t>
      </w:r>
      <w:r w:rsidR="00E07355" w:rsidRPr="00E07355">
        <w:rPr>
          <w:vertAlign w:val="superscript"/>
        </w:rPr>
        <w:t>th</w:t>
      </w:r>
      <w:r w:rsidR="00E07355">
        <w:t xml:space="preserve"> webinar</w:t>
      </w:r>
      <w:r>
        <w:t xml:space="preserve"> for more insights</w:t>
      </w:r>
      <w:r w:rsidR="00E07355">
        <w:t>.</w:t>
      </w:r>
    </w:p>
    <w:p w14:paraId="0EB2C552" w14:textId="3B3373FF" w:rsidR="00E07355" w:rsidRDefault="00E07355" w:rsidP="00F24506">
      <w:pPr>
        <w:pStyle w:val="Heading1"/>
      </w:pPr>
      <w:r>
        <w:t>Exporter of the Year Award</w:t>
      </w:r>
    </w:p>
    <w:p w14:paraId="3FF5D168" w14:textId="16CCFAD4" w:rsidR="00E07355" w:rsidRDefault="00E07355" w:rsidP="00E07355">
      <w:r>
        <w:t xml:space="preserve">The official DEC members reviewed the 5 Montana Exporter of the Year award applications from: </w:t>
      </w:r>
    </w:p>
    <w:p w14:paraId="74BCFFD7" w14:textId="77777777" w:rsidR="00E07355" w:rsidRDefault="00E07355" w:rsidP="00E07355">
      <w:pPr>
        <w:pStyle w:val="ListParagraph"/>
        <w:numPr>
          <w:ilvl w:val="0"/>
          <w:numId w:val="10"/>
        </w:numPr>
      </w:pPr>
      <w:proofErr w:type="spellStart"/>
      <w:r>
        <w:t>ClassOne</w:t>
      </w:r>
      <w:proofErr w:type="spellEnd"/>
      <w:r>
        <w:t xml:space="preserve"> Technology</w:t>
      </w:r>
    </w:p>
    <w:p w14:paraId="11AFC1D6" w14:textId="77777777" w:rsidR="00E07355" w:rsidRDefault="00E07355" w:rsidP="00E07355">
      <w:pPr>
        <w:pStyle w:val="ListParagraph"/>
        <w:numPr>
          <w:ilvl w:val="0"/>
          <w:numId w:val="10"/>
        </w:numPr>
      </w:pPr>
      <w:r>
        <w:t>H-E Parts International - Mining Solutions</w:t>
      </w:r>
    </w:p>
    <w:p w14:paraId="1EABE36B" w14:textId="77777777" w:rsidR="00E07355" w:rsidRDefault="00E07355" w:rsidP="00E07355">
      <w:pPr>
        <w:pStyle w:val="ListParagraph"/>
        <w:numPr>
          <w:ilvl w:val="0"/>
          <w:numId w:val="10"/>
        </w:numPr>
      </w:pPr>
      <w:r>
        <w:t>R.L. Winston Rod Co.</w:t>
      </w:r>
    </w:p>
    <w:p w14:paraId="43404DF2" w14:textId="77777777" w:rsidR="00E07355" w:rsidRDefault="00E07355" w:rsidP="00E07355">
      <w:pPr>
        <w:pStyle w:val="ListParagraph"/>
        <w:numPr>
          <w:ilvl w:val="0"/>
          <w:numId w:val="10"/>
        </w:numPr>
      </w:pPr>
      <w:r>
        <w:t>HCR, Inc.</w:t>
      </w:r>
    </w:p>
    <w:p w14:paraId="50BF4519" w14:textId="2F8B9F22" w:rsidR="00E07355" w:rsidRDefault="00E07355" w:rsidP="00E07355">
      <w:pPr>
        <w:pStyle w:val="ListParagraph"/>
        <w:numPr>
          <w:ilvl w:val="0"/>
          <w:numId w:val="10"/>
        </w:numPr>
      </w:pPr>
      <w:proofErr w:type="spellStart"/>
      <w:r>
        <w:t>Burgi</w:t>
      </w:r>
      <w:proofErr w:type="spellEnd"/>
      <w:r>
        <w:t xml:space="preserve"> Engineers</w:t>
      </w:r>
    </w:p>
    <w:p w14:paraId="1A64AF6C" w14:textId="1EB9FD8E" w:rsidR="00E07355" w:rsidRDefault="00E07355" w:rsidP="00E07355">
      <w:r>
        <w:t>DEC deliberated on the applications and decided to utilize a scoring matrix to determine the EOTY winner</w:t>
      </w:r>
      <w:r w:rsidR="00DF7621">
        <w:t>.  DEC members will submit scores to Angie for recording by February 21, and Angie will return the results to DEC membership for final deliberations and to determine the EOTY winner</w:t>
      </w:r>
      <w:r w:rsidR="009D532E">
        <w:t xml:space="preserve"> by early April</w:t>
      </w:r>
      <w:r w:rsidR="00DF7621">
        <w:t xml:space="preserve">.  </w:t>
      </w:r>
    </w:p>
    <w:p w14:paraId="374FFA23" w14:textId="3F32D696" w:rsidR="00DF7621" w:rsidRPr="00E07355" w:rsidRDefault="00DF7621" w:rsidP="00E07355">
      <w:r>
        <w:t>DEC decided that the EOTY award ceremony will take place mid-May in the home town of the winner.  Angie will coordinate with the winner on the date and location and update the DEC, as well as coordinate a press release and local media invitation.</w:t>
      </w:r>
    </w:p>
    <w:p w14:paraId="25CADD83" w14:textId="449B09A9" w:rsidR="00E07355" w:rsidRDefault="00E07355" w:rsidP="00E07355">
      <w:pPr>
        <w:pStyle w:val="Heading1"/>
      </w:pPr>
      <w:r>
        <w:t>NADEC Trade Policy Advocacy Liaison</w:t>
      </w:r>
    </w:p>
    <w:p w14:paraId="0ACE7BD4" w14:textId="78E24A43" w:rsidR="002D3399" w:rsidRPr="002D3399" w:rsidRDefault="002D3399" w:rsidP="002D3399">
      <w:r>
        <w:t xml:space="preserve">DEC appointed Richard </w:t>
      </w:r>
      <w:proofErr w:type="spellStart"/>
      <w:r>
        <w:t>Hegger</w:t>
      </w:r>
      <w:proofErr w:type="spellEnd"/>
      <w:r>
        <w:t xml:space="preserve"> as its National DEC Trade Policy Advocacy Liaison.  </w:t>
      </w:r>
    </w:p>
    <w:p w14:paraId="70737415" w14:textId="5A4A9E79" w:rsidR="00E07355" w:rsidRDefault="00E07355" w:rsidP="00E07355">
      <w:pPr>
        <w:pStyle w:val="Heading1"/>
      </w:pPr>
      <w:r>
        <w:t>Continuing Education Seminars</w:t>
      </w:r>
    </w:p>
    <w:p w14:paraId="7BAE5F65" w14:textId="27D9FF2E" w:rsidR="002D3399" w:rsidRDefault="002D3399" w:rsidP="002D3399">
      <w:r>
        <w:t xml:space="preserve">DEC will support the following export training topics via webinar: </w:t>
      </w:r>
    </w:p>
    <w:p w14:paraId="711F3F61" w14:textId="4A13DAC3" w:rsidR="002D3399" w:rsidRDefault="002D3399" w:rsidP="002D3399">
      <w:pPr>
        <w:pStyle w:val="ListParagraph"/>
        <w:numPr>
          <w:ilvl w:val="0"/>
          <w:numId w:val="11"/>
        </w:numPr>
      </w:pPr>
      <w:r>
        <w:t>International Shipping (</w:t>
      </w:r>
      <w:proofErr w:type="spellStart"/>
      <w:r>
        <w:t>ExportMontana</w:t>
      </w:r>
      <w:proofErr w:type="spellEnd"/>
      <w:r>
        <w:t>)</w:t>
      </w:r>
    </w:p>
    <w:p w14:paraId="76BC53F6" w14:textId="7C454F54" w:rsidR="002D3399" w:rsidRDefault="002D3399" w:rsidP="002D3399">
      <w:pPr>
        <w:pStyle w:val="ListParagraph"/>
        <w:numPr>
          <w:ilvl w:val="0"/>
          <w:numId w:val="11"/>
        </w:numPr>
      </w:pPr>
      <w:r>
        <w:t>Free Trade Agreements &amp; Tariffs (USCS)</w:t>
      </w:r>
    </w:p>
    <w:p w14:paraId="0A0145E6" w14:textId="52C681B9" w:rsidR="002D3399" w:rsidRDefault="002D3399" w:rsidP="002D3399">
      <w:pPr>
        <w:pStyle w:val="ListParagraph"/>
        <w:numPr>
          <w:ilvl w:val="0"/>
          <w:numId w:val="11"/>
        </w:numPr>
      </w:pPr>
      <w:r>
        <w:t>International Standards, e.g. CE Mark, etc. (USCS)</w:t>
      </w:r>
    </w:p>
    <w:p w14:paraId="246B6914" w14:textId="4CD9A3DC" w:rsidR="002D3399" w:rsidRDefault="002D3399" w:rsidP="002D3399">
      <w:pPr>
        <w:pStyle w:val="ListParagraph"/>
        <w:numPr>
          <w:ilvl w:val="0"/>
          <w:numId w:val="11"/>
        </w:numPr>
      </w:pPr>
      <w:r>
        <w:lastRenderedPageBreak/>
        <w:t>International Risk Management &amp; Payment Methods (SBA)</w:t>
      </w:r>
    </w:p>
    <w:p w14:paraId="546FFF9E" w14:textId="1D241855" w:rsidR="002D3399" w:rsidRDefault="002D3399" w:rsidP="002D3399">
      <w:pPr>
        <w:pStyle w:val="ListParagraph"/>
        <w:numPr>
          <w:ilvl w:val="0"/>
          <w:numId w:val="11"/>
        </w:numPr>
      </w:pPr>
      <w:r>
        <w:t>Foreign Exchange (MWTC)</w:t>
      </w:r>
    </w:p>
    <w:p w14:paraId="0CC64701" w14:textId="7904206C" w:rsidR="002D3399" w:rsidRPr="002D3399" w:rsidRDefault="002D3399" w:rsidP="002D3399">
      <w:pPr>
        <w:pStyle w:val="ListParagraph"/>
        <w:numPr>
          <w:ilvl w:val="0"/>
          <w:numId w:val="11"/>
        </w:numPr>
      </w:pPr>
      <w:r>
        <w:t>USMCA (MWTC)</w:t>
      </w:r>
    </w:p>
    <w:p w14:paraId="7F98D989" w14:textId="483E7FF6" w:rsidR="00E07355" w:rsidRDefault="00E07355" w:rsidP="00E07355">
      <w:pPr>
        <w:pStyle w:val="Heading1"/>
      </w:pPr>
      <w:r>
        <w:t>Montana STEP Grant Plans</w:t>
      </w:r>
    </w:p>
    <w:p w14:paraId="20BFDFFA" w14:textId="106565A9" w:rsidR="00074D26" w:rsidRDefault="00074D26" w:rsidP="00074D26">
      <w:r>
        <w:t xml:space="preserve">Angie presented </w:t>
      </w:r>
      <w:proofErr w:type="spellStart"/>
      <w:r>
        <w:t>ExportMontana’s</w:t>
      </w:r>
      <w:proofErr w:type="spellEnd"/>
      <w:r>
        <w:t xml:space="preserve"> draft plan for the Federal FY19 STEP grant application: </w:t>
      </w:r>
    </w:p>
    <w:p w14:paraId="1CF9ADFB" w14:textId="3A20D39E" w:rsidR="00074D26" w:rsidRDefault="00074D26" w:rsidP="00074D26">
      <w:pPr>
        <w:pStyle w:val="ListParagraph"/>
        <w:numPr>
          <w:ilvl w:val="0"/>
          <w:numId w:val="12"/>
        </w:numPr>
      </w:pPr>
      <w:r>
        <w:t xml:space="preserve">Funding grants for individual Montana exporters for: </w:t>
      </w:r>
    </w:p>
    <w:p w14:paraId="066EE4D8" w14:textId="5D668F89" w:rsidR="00074D26" w:rsidRPr="00074D26" w:rsidRDefault="00074D26" w:rsidP="00074D26">
      <w:pPr>
        <w:pStyle w:val="ListParagraph"/>
        <w:numPr>
          <w:ilvl w:val="1"/>
          <w:numId w:val="12"/>
        </w:numPr>
      </w:pPr>
      <w:r w:rsidRPr="00074D26">
        <w:t>International Trade Show Exhibition – up to $10,000 reimbursement + up to $2,000 travel stipend</w:t>
      </w:r>
    </w:p>
    <w:p w14:paraId="351B8C57" w14:textId="171F98F4" w:rsidR="00074D26" w:rsidRPr="00074D26" w:rsidRDefault="00074D26" w:rsidP="00074D26">
      <w:pPr>
        <w:pStyle w:val="ListParagraph"/>
        <w:numPr>
          <w:ilvl w:val="1"/>
          <w:numId w:val="12"/>
        </w:numPr>
      </w:pPr>
      <w:r w:rsidRPr="00074D26">
        <w:t>Language Translation Services &amp; Production Fees – up to $3,000 reimbursement</w:t>
      </w:r>
    </w:p>
    <w:p w14:paraId="4825EABB" w14:textId="24826040" w:rsidR="00074D26" w:rsidRPr="00074D26" w:rsidRDefault="00074D26" w:rsidP="00074D26">
      <w:pPr>
        <w:pStyle w:val="ListParagraph"/>
        <w:numPr>
          <w:ilvl w:val="1"/>
          <w:numId w:val="12"/>
        </w:numPr>
      </w:pPr>
      <w:r w:rsidRPr="00074D26">
        <w:t>U.S. Commercial Service Programs – up to $5,000 reimbursement + up to $2,000 travel stipend</w:t>
      </w:r>
    </w:p>
    <w:p w14:paraId="46AC57AF" w14:textId="389CF342" w:rsidR="00074D26" w:rsidRPr="00074D26" w:rsidRDefault="00074D26" w:rsidP="00074D26">
      <w:pPr>
        <w:pStyle w:val="ListParagraph"/>
        <w:numPr>
          <w:ilvl w:val="1"/>
          <w:numId w:val="12"/>
        </w:numPr>
      </w:pPr>
      <w:r w:rsidRPr="00074D26">
        <w:t>International Compliance Testing – up to $3,000 reimbursement</w:t>
      </w:r>
    </w:p>
    <w:p w14:paraId="6794EB36" w14:textId="65F129A1" w:rsidR="00074D26" w:rsidRPr="00074D26" w:rsidRDefault="00074D26" w:rsidP="00074D26">
      <w:pPr>
        <w:pStyle w:val="ListParagraph"/>
        <w:numPr>
          <w:ilvl w:val="1"/>
          <w:numId w:val="12"/>
        </w:numPr>
      </w:pPr>
      <w:r w:rsidRPr="00074D26">
        <w:t>Montana Online Global Program – up to $3,000 reimbursement</w:t>
      </w:r>
    </w:p>
    <w:p w14:paraId="3A27F221" w14:textId="3E1FEDFF" w:rsidR="00074D26" w:rsidRDefault="00074D26" w:rsidP="00074D26">
      <w:pPr>
        <w:pStyle w:val="ListParagraph"/>
        <w:numPr>
          <w:ilvl w:val="1"/>
          <w:numId w:val="12"/>
        </w:numPr>
      </w:pPr>
      <w:r w:rsidRPr="00074D26">
        <w:t>International Travel Stipend – up to $2,000 reimbursement</w:t>
      </w:r>
    </w:p>
    <w:p w14:paraId="69FA1B77" w14:textId="443DEC87" w:rsidR="00074D26" w:rsidRDefault="00074D26" w:rsidP="00074D26">
      <w:pPr>
        <w:pStyle w:val="ListParagraph"/>
        <w:numPr>
          <w:ilvl w:val="0"/>
          <w:numId w:val="12"/>
        </w:numPr>
      </w:pPr>
      <w:r>
        <w:t xml:space="preserve">Hosting Montana Pavilions for Montana exporter industry groups: </w:t>
      </w:r>
    </w:p>
    <w:p w14:paraId="16A7D8D4" w14:textId="2B390A49" w:rsidR="00074D26" w:rsidRDefault="00074D26" w:rsidP="00074D26">
      <w:pPr>
        <w:pStyle w:val="ListParagraph"/>
        <w:numPr>
          <w:ilvl w:val="1"/>
          <w:numId w:val="12"/>
        </w:numPr>
      </w:pPr>
      <w:r>
        <w:t xml:space="preserve">Nov 2019, </w:t>
      </w:r>
      <w:proofErr w:type="spellStart"/>
      <w:r>
        <w:t>Milipol</w:t>
      </w:r>
      <w:proofErr w:type="spellEnd"/>
      <w:r>
        <w:t xml:space="preserve"> Paris, security and defense industry</w:t>
      </w:r>
    </w:p>
    <w:p w14:paraId="464C6DEF" w14:textId="60A88530" w:rsidR="00074D26" w:rsidRDefault="00074D26" w:rsidP="00074D26">
      <w:pPr>
        <w:pStyle w:val="ListParagraph"/>
        <w:numPr>
          <w:ilvl w:val="1"/>
          <w:numId w:val="12"/>
        </w:numPr>
      </w:pPr>
      <w:r>
        <w:t>Mar 2020, IWA Outdoor, outdoor and hunting industry</w:t>
      </w:r>
    </w:p>
    <w:p w14:paraId="3C0A7886" w14:textId="4F6BBD64" w:rsidR="00074D26" w:rsidRDefault="00074D26" w:rsidP="00074D26">
      <w:pPr>
        <w:pStyle w:val="ListParagraph"/>
        <w:numPr>
          <w:ilvl w:val="1"/>
          <w:numId w:val="12"/>
        </w:numPr>
      </w:pPr>
      <w:r>
        <w:t>Jun 2020, Global Petroleum Show, oil fields and oil sands industry</w:t>
      </w:r>
    </w:p>
    <w:p w14:paraId="734D878E" w14:textId="5CD01540" w:rsidR="00074D26" w:rsidRDefault="00074D26" w:rsidP="00074D26">
      <w:pPr>
        <w:pStyle w:val="ListParagraph"/>
        <w:numPr>
          <w:ilvl w:val="1"/>
          <w:numId w:val="12"/>
        </w:numPr>
      </w:pPr>
      <w:r>
        <w:t xml:space="preserve">2020, </w:t>
      </w:r>
      <w:r w:rsidR="00522A8D">
        <w:t>(show TBD via Montana Photonics Industry Alliance), p</w:t>
      </w:r>
      <w:r>
        <w:t>hotonics industry</w:t>
      </w:r>
    </w:p>
    <w:p w14:paraId="35CC21AD" w14:textId="50040214" w:rsidR="00522A8D" w:rsidRDefault="00522A8D" w:rsidP="00522A8D">
      <w:r>
        <w:t>DEC indicated support for the plan and will help disseminate program information to Montana exporters.</w:t>
      </w:r>
    </w:p>
    <w:p w14:paraId="746D3B62" w14:textId="77B01BD0" w:rsidR="00F24506" w:rsidRDefault="00F24506" w:rsidP="00074D26">
      <w:pPr>
        <w:pStyle w:val="Heading1"/>
      </w:pPr>
      <w:r>
        <w:t>DEC Website</w:t>
      </w:r>
    </w:p>
    <w:p w14:paraId="1D8C08ED" w14:textId="77777777" w:rsidR="00F24506" w:rsidRPr="00AD268B" w:rsidRDefault="00F24506" w:rsidP="00F24506">
      <w:r>
        <w:t xml:space="preserve">There is a temporary DEC website available at </w:t>
      </w:r>
      <w:hyperlink r:id="rId12" w:history="1">
        <w:r w:rsidRPr="00ED1897">
          <w:rPr>
            <w:rStyle w:val="Hyperlink"/>
          </w:rPr>
          <w:t>http://marketmt.com/Export/MontanaDEC</w:t>
        </w:r>
      </w:hyperlink>
      <w:r>
        <w:t xml:space="preserve">.  Upon restructuring of the </w:t>
      </w:r>
      <w:proofErr w:type="spellStart"/>
      <w:r>
        <w:t>ExportMontana</w:t>
      </w:r>
      <w:proofErr w:type="spellEnd"/>
      <w:r>
        <w:t xml:space="preserve"> website, additional resources for exporters will be available.</w:t>
      </w:r>
    </w:p>
    <w:p w14:paraId="754A802A" w14:textId="77777777" w:rsidR="00F24506" w:rsidRDefault="00F24506" w:rsidP="00F24506">
      <w:pPr>
        <w:pStyle w:val="Heading1"/>
      </w:pPr>
      <w:r>
        <w:t>New DEC Membership</w:t>
      </w:r>
    </w:p>
    <w:p w14:paraId="4877F410" w14:textId="77777777" w:rsidR="0087739C" w:rsidRDefault="0087739C" w:rsidP="00F24506">
      <w:r>
        <w:t>DEC membership is capped at 30 members and should represent a cross-section of the state’s export industries.</w:t>
      </w:r>
    </w:p>
    <w:p w14:paraId="25FAE9D8" w14:textId="330E624B" w:rsidR="0087739C" w:rsidRDefault="00F24506" w:rsidP="00F24506">
      <w:r>
        <w:t xml:space="preserve">To encourage new DEC membership, Angie will encourage exporters local for each DEC meeting to attend in person.  </w:t>
      </w:r>
      <w:r w:rsidR="0087739C">
        <w:t>Additionally, DEC members will each invite at least one exporter to the May DEC meeting.</w:t>
      </w:r>
    </w:p>
    <w:p w14:paraId="4AD83A1C" w14:textId="1083A919" w:rsidR="00F24506" w:rsidRDefault="00F24506" w:rsidP="00F24506">
      <w:r>
        <w:t xml:space="preserve">Official DEC membership can be accepted in June </w:t>
      </w:r>
      <w:r w:rsidR="00E07355">
        <w:t>in even-numbered years</w:t>
      </w:r>
      <w:r>
        <w:t>.</w:t>
      </w:r>
    </w:p>
    <w:sectPr w:rsidR="00F24506" w:rsidSect="00433C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8541" w14:textId="77777777" w:rsidR="000C4FFC" w:rsidRDefault="000C4FFC">
      <w:r>
        <w:separator/>
      </w:r>
    </w:p>
  </w:endnote>
  <w:endnote w:type="continuationSeparator" w:id="0">
    <w:p w14:paraId="798199FB" w14:textId="77777777" w:rsidR="000C4FFC" w:rsidRDefault="000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DD39" w14:textId="4B5F08FC" w:rsidR="00E63594" w:rsidRDefault="0060555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5D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ED4C" w14:textId="77777777" w:rsidR="000C4FFC" w:rsidRDefault="000C4FFC">
      <w:r>
        <w:separator/>
      </w:r>
    </w:p>
  </w:footnote>
  <w:footnote w:type="continuationSeparator" w:id="0">
    <w:p w14:paraId="5E06BC85" w14:textId="77777777" w:rsidR="000C4FFC" w:rsidRDefault="000C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5EA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3219C"/>
    <w:multiLevelType w:val="hybridMultilevel"/>
    <w:tmpl w:val="A436596C"/>
    <w:lvl w:ilvl="0" w:tplc="3E4A1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C2C"/>
    <w:multiLevelType w:val="hybridMultilevel"/>
    <w:tmpl w:val="0168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6CD"/>
    <w:multiLevelType w:val="hybridMultilevel"/>
    <w:tmpl w:val="CD02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D24"/>
    <w:multiLevelType w:val="hybridMultilevel"/>
    <w:tmpl w:val="7004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45DC"/>
    <w:multiLevelType w:val="hybridMultilevel"/>
    <w:tmpl w:val="9F8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622"/>
    <w:multiLevelType w:val="hybridMultilevel"/>
    <w:tmpl w:val="DF2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6B6F"/>
    <w:multiLevelType w:val="hybridMultilevel"/>
    <w:tmpl w:val="817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199A"/>
    <w:multiLevelType w:val="hybridMultilevel"/>
    <w:tmpl w:val="DC4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165D"/>
    <w:multiLevelType w:val="hybridMultilevel"/>
    <w:tmpl w:val="3F9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C2C7D"/>
    <w:multiLevelType w:val="hybridMultilevel"/>
    <w:tmpl w:val="D3C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7A20"/>
    <w:multiLevelType w:val="hybridMultilevel"/>
    <w:tmpl w:val="BF6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4EBD"/>
    <w:multiLevelType w:val="hybridMultilevel"/>
    <w:tmpl w:val="02B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DF"/>
    <w:rsid w:val="0001613F"/>
    <w:rsid w:val="00017AF8"/>
    <w:rsid w:val="00022E67"/>
    <w:rsid w:val="00032653"/>
    <w:rsid w:val="00040542"/>
    <w:rsid w:val="0005517A"/>
    <w:rsid w:val="000724A7"/>
    <w:rsid w:val="00074D26"/>
    <w:rsid w:val="000A34D1"/>
    <w:rsid w:val="000B39D5"/>
    <w:rsid w:val="000C4FFC"/>
    <w:rsid w:val="000C7578"/>
    <w:rsid w:val="001006F1"/>
    <w:rsid w:val="00100E79"/>
    <w:rsid w:val="0010588A"/>
    <w:rsid w:val="00105EF3"/>
    <w:rsid w:val="00124889"/>
    <w:rsid w:val="0013341D"/>
    <w:rsid w:val="00155EF9"/>
    <w:rsid w:val="00160169"/>
    <w:rsid w:val="001933CA"/>
    <w:rsid w:val="001A2BF3"/>
    <w:rsid w:val="001F31EB"/>
    <w:rsid w:val="0021734C"/>
    <w:rsid w:val="00240DB2"/>
    <w:rsid w:val="002441CA"/>
    <w:rsid w:val="0026509A"/>
    <w:rsid w:val="002A57D9"/>
    <w:rsid w:val="002B1B41"/>
    <w:rsid w:val="002B68E4"/>
    <w:rsid w:val="002D1AE6"/>
    <w:rsid w:val="002D3399"/>
    <w:rsid w:val="00301DE2"/>
    <w:rsid w:val="00307FBF"/>
    <w:rsid w:val="003520E3"/>
    <w:rsid w:val="003652FA"/>
    <w:rsid w:val="00377A42"/>
    <w:rsid w:val="003C67AC"/>
    <w:rsid w:val="0040264E"/>
    <w:rsid w:val="004072AA"/>
    <w:rsid w:val="0041323D"/>
    <w:rsid w:val="00425B95"/>
    <w:rsid w:val="00430E6C"/>
    <w:rsid w:val="00433C82"/>
    <w:rsid w:val="0044121E"/>
    <w:rsid w:val="00446ED9"/>
    <w:rsid w:val="004758E7"/>
    <w:rsid w:val="004902DD"/>
    <w:rsid w:val="0049302D"/>
    <w:rsid w:val="00494ACB"/>
    <w:rsid w:val="004A0F65"/>
    <w:rsid w:val="004A7645"/>
    <w:rsid w:val="004C31AC"/>
    <w:rsid w:val="004E2E43"/>
    <w:rsid w:val="00522A8D"/>
    <w:rsid w:val="00550C45"/>
    <w:rsid w:val="00552328"/>
    <w:rsid w:val="00554362"/>
    <w:rsid w:val="0057282B"/>
    <w:rsid w:val="005A2BEB"/>
    <w:rsid w:val="00605551"/>
    <w:rsid w:val="006A37C6"/>
    <w:rsid w:val="006B360B"/>
    <w:rsid w:val="006D5C7F"/>
    <w:rsid w:val="006F5D23"/>
    <w:rsid w:val="0071140E"/>
    <w:rsid w:val="007A727E"/>
    <w:rsid w:val="00812FF4"/>
    <w:rsid w:val="00822815"/>
    <w:rsid w:val="00822FE2"/>
    <w:rsid w:val="00833F66"/>
    <w:rsid w:val="00834429"/>
    <w:rsid w:val="008406AF"/>
    <w:rsid w:val="00843739"/>
    <w:rsid w:val="00847F49"/>
    <w:rsid w:val="00856C98"/>
    <w:rsid w:val="008706E3"/>
    <w:rsid w:val="00872B93"/>
    <w:rsid w:val="00875FE2"/>
    <w:rsid w:val="0087739C"/>
    <w:rsid w:val="008B00DD"/>
    <w:rsid w:val="008B11DA"/>
    <w:rsid w:val="008B268A"/>
    <w:rsid w:val="008B3CA0"/>
    <w:rsid w:val="008C3CBF"/>
    <w:rsid w:val="008D3C11"/>
    <w:rsid w:val="008E68AC"/>
    <w:rsid w:val="0090011A"/>
    <w:rsid w:val="00902ED5"/>
    <w:rsid w:val="00930452"/>
    <w:rsid w:val="009470DF"/>
    <w:rsid w:val="00947C82"/>
    <w:rsid w:val="00961FE4"/>
    <w:rsid w:val="0096418C"/>
    <w:rsid w:val="0096550F"/>
    <w:rsid w:val="00994A12"/>
    <w:rsid w:val="00995555"/>
    <w:rsid w:val="009B3F54"/>
    <w:rsid w:val="009C59ED"/>
    <w:rsid w:val="009D532E"/>
    <w:rsid w:val="009E0235"/>
    <w:rsid w:val="009E19A2"/>
    <w:rsid w:val="00A252CE"/>
    <w:rsid w:val="00A3623F"/>
    <w:rsid w:val="00A62BA1"/>
    <w:rsid w:val="00A71B6B"/>
    <w:rsid w:val="00A759EB"/>
    <w:rsid w:val="00AA0887"/>
    <w:rsid w:val="00AB44BD"/>
    <w:rsid w:val="00AE1535"/>
    <w:rsid w:val="00B12357"/>
    <w:rsid w:val="00B13300"/>
    <w:rsid w:val="00B22A32"/>
    <w:rsid w:val="00B404C6"/>
    <w:rsid w:val="00B42E18"/>
    <w:rsid w:val="00B601A0"/>
    <w:rsid w:val="00B83828"/>
    <w:rsid w:val="00B84E02"/>
    <w:rsid w:val="00B87C90"/>
    <w:rsid w:val="00B87EDB"/>
    <w:rsid w:val="00B97B4D"/>
    <w:rsid w:val="00BA055D"/>
    <w:rsid w:val="00BB33DC"/>
    <w:rsid w:val="00BC5DBF"/>
    <w:rsid w:val="00C15C51"/>
    <w:rsid w:val="00C400A4"/>
    <w:rsid w:val="00C73D87"/>
    <w:rsid w:val="00C858B3"/>
    <w:rsid w:val="00C95670"/>
    <w:rsid w:val="00CC47DB"/>
    <w:rsid w:val="00CE3F2F"/>
    <w:rsid w:val="00CF2F9C"/>
    <w:rsid w:val="00D30525"/>
    <w:rsid w:val="00D447CB"/>
    <w:rsid w:val="00D578BA"/>
    <w:rsid w:val="00D671B5"/>
    <w:rsid w:val="00D8456A"/>
    <w:rsid w:val="00D85EC9"/>
    <w:rsid w:val="00DC722A"/>
    <w:rsid w:val="00DF1CBD"/>
    <w:rsid w:val="00DF7621"/>
    <w:rsid w:val="00E07355"/>
    <w:rsid w:val="00E1267A"/>
    <w:rsid w:val="00E249B7"/>
    <w:rsid w:val="00E63594"/>
    <w:rsid w:val="00E638B0"/>
    <w:rsid w:val="00E8245E"/>
    <w:rsid w:val="00EA3F5E"/>
    <w:rsid w:val="00EB7C02"/>
    <w:rsid w:val="00EC08CB"/>
    <w:rsid w:val="00EF3979"/>
    <w:rsid w:val="00F120BA"/>
    <w:rsid w:val="00F20CD3"/>
    <w:rsid w:val="00F24506"/>
    <w:rsid w:val="00F37246"/>
    <w:rsid w:val="00F60F59"/>
    <w:rsid w:val="00F8239A"/>
    <w:rsid w:val="00F914E6"/>
    <w:rsid w:val="00FD7E5B"/>
    <w:rsid w:val="00FE243E"/>
    <w:rsid w:val="00FE5DD2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21FD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E2E43"/>
    <w:pPr>
      <w:pBdr>
        <w:top w:val="single" w:sz="4" w:space="1" w:color="C00000"/>
        <w:bottom w:val="single" w:sz="4" w:space="1" w:color="C00000"/>
      </w:pBdr>
      <w:spacing w:before="240" w:after="360"/>
      <w:outlineLvl w:val="0"/>
    </w:pPr>
    <w:rPr>
      <w:rFonts w:asciiTheme="majorHAnsi" w:eastAsiaTheme="majorEastAsia" w:hAnsiTheme="majorHAnsi" w:cstheme="majorBidi"/>
      <w:color w:val="344D6C" w:themeColor="accent6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072AA"/>
    <w:pPr>
      <w:spacing w:before="240" w:after="240"/>
      <w:outlineLvl w:val="1"/>
    </w:pPr>
    <w:rPr>
      <w:rFonts w:asciiTheme="majorHAnsi" w:eastAsiaTheme="majorEastAsia" w:hAnsiTheme="majorHAnsi" w:cstheme="majorBid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30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FF435D"/>
    <w:pPr>
      <w:spacing w:before="120" w:after="120"/>
      <w:jc w:val="right"/>
    </w:pPr>
    <w:rPr>
      <w:rFonts w:asciiTheme="majorHAnsi" w:eastAsiaTheme="majorEastAsia" w:hAnsiTheme="majorHAnsi" w:cstheme="majorBidi"/>
      <w:b/>
      <w:bCs/>
      <w:caps/>
      <w:color w:val="344D6C" w:themeColor="accent6" w:themeShade="80"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90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62"/>
    <w:rPr>
      <w:color w:val="8E58B6" w:themeColor="hyperlink"/>
      <w:u w:val="single"/>
    </w:rPr>
  </w:style>
  <w:style w:type="table" w:styleId="PlainTable1">
    <w:name w:val="Plain Table 1"/>
    <w:basedOn w:val="TableNormal"/>
    <w:uiPriority w:val="41"/>
    <w:rsid w:val="00B9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E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072AA"/>
    <w:rPr>
      <w:rFonts w:asciiTheme="majorHAnsi" w:eastAsiaTheme="majorEastAsia" w:hAnsiTheme="majorHAnsi" w:cstheme="majorBidi"/>
      <w:b/>
      <w:color w:val="C00000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DB"/>
    <w:rPr>
      <w:color w:val="808080"/>
      <w:shd w:val="clear" w:color="auto" w:fill="E6E6E6"/>
    </w:rPr>
  </w:style>
  <w:style w:type="paragraph" w:customStyle="1" w:styleId="Default">
    <w:name w:val="Default"/>
    <w:rsid w:val="00F82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6C"/>
    <w:rPr>
      <w:rFonts w:asciiTheme="majorHAnsi" w:eastAsiaTheme="majorEastAsia" w:hAnsiTheme="majorHAnsi" w:cstheme="majorBidi"/>
      <w:i/>
      <w:iCs/>
      <w:color w:val="7C9163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6C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etmt.com/Export/MontanaD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r.gov/sites/default/files/files/Press/fs/USMCA/USMCA_Montan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tr.gov/trade-agreements/free-trade-agreements/united-states-mexico-canada-agreement/agreement-betwe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035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98040DCBEE4E4D84B2297349BA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D296-458C-4BAE-9D67-825E5D058983}"/>
      </w:docPartPr>
      <w:docPartBody>
        <w:p w:rsidR="007C00C6" w:rsidRDefault="004E1F5F">
          <w:pPr>
            <w:pStyle w:val="2D98040DCBEE4E4D84B2297349BA1D33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C6"/>
    <w:rsid w:val="004E1F5F"/>
    <w:rsid w:val="007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8040DCBEE4E4D84B2297349BA1D33">
    <w:name w:val="2D98040DCBEE4E4D84B2297349BA1D33"/>
  </w:style>
  <w:style w:type="paragraph" w:customStyle="1" w:styleId="50C9482802094298A2DCD1744BCB870B">
    <w:name w:val="50C9482802094298A2DCD1744BCB870B"/>
  </w:style>
  <w:style w:type="paragraph" w:customStyle="1" w:styleId="A3C52F4545FC45AB8C5163A4BB7BACFB">
    <w:name w:val="A3C52F4545FC45AB8C5163A4BB7BACFB"/>
  </w:style>
  <w:style w:type="paragraph" w:customStyle="1" w:styleId="11A98F1EAAF845F1A0ADFF9FC95EE77F">
    <w:name w:val="11A98F1EAAF845F1A0ADFF9FC95EE77F"/>
  </w:style>
  <w:style w:type="paragraph" w:customStyle="1" w:styleId="F749BF650D134EE1875405A869AB70AB">
    <w:name w:val="F749BF650D134EE1875405A869AB70AB"/>
  </w:style>
  <w:style w:type="paragraph" w:customStyle="1" w:styleId="9D8084561D5247CBBB38EC1D290FDEC3">
    <w:name w:val="9D8084561D5247CBBB38EC1D290FDEC3"/>
  </w:style>
  <w:style w:type="paragraph" w:customStyle="1" w:styleId="DBB37A105DB6401891712B9CED2430FB">
    <w:name w:val="DBB37A105DB6401891712B9CED2430FB"/>
  </w:style>
  <w:style w:type="paragraph" w:customStyle="1" w:styleId="C868E56750D84A768BB20F28D65AC2EB">
    <w:name w:val="C868E56750D84A768BB20F28D65AC2EB"/>
  </w:style>
  <w:style w:type="paragraph" w:customStyle="1" w:styleId="76E93D4DA19A42009C42519B91BB53A7">
    <w:name w:val="76E93D4DA19A42009C42519B91BB53A7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830F79F2FAF426F8A403E3D8F141531">
    <w:name w:val="2830F79F2FAF426F8A403E3D8F141531"/>
  </w:style>
  <w:style w:type="paragraph" w:customStyle="1" w:styleId="C4644EBAC8934CF599AEDDE4CAE72D7A">
    <w:name w:val="C4644EBAC8934CF599AEDDE4CAE72D7A"/>
  </w:style>
  <w:style w:type="paragraph" w:customStyle="1" w:styleId="142615CCFD8848EBB27F3968F1605F5C">
    <w:name w:val="142615CCFD8848EBB27F3968F1605F5C"/>
  </w:style>
  <w:style w:type="paragraph" w:customStyle="1" w:styleId="2AF84F369DA44B5AB50B7221868913DE">
    <w:name w:val="2AF84F369DA44B5AB50B7221868913DE"/>
  </w:style>
  <w:style w:type="paragraph" w:customStyle="1" w:styleId="6FBC61286553411C93A6C6079C371FD9">
    <w:name w:val="6FBC61286553411C93A6C6079C371FD9"/>
  </w:style>
  <w:style w:type="paragraph" w:customStyle="1" w:styleId="D703D852A30D4E32AC7BD6B29653247D">
    <w:name w:val="D703D852A30D4E32AC7BD6B29653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2019-02-21T04:33:00Z</dcterms:created>
  <dcterms:modified xsi:type="dcterms:W3CDTF">2019-02-22T17:21:00Z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